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60DEEF" w14:textId="6168CECF" w:rsidR="000304D9" w:rsidRDefault="00CB7746">
      <w:pPr>
        <w:pBdr>
          <w:top w:val="single" w:sz="4" w:space="0" w:color="000000"/>
          <w:left w:val="single" w:sz="4" w:space="4" w:color="000000"/>
          <w:bottom w:val="single" w:sz="4" w:space="1" w:color="000000"/>
          <w:right w:val="single" w:sz="4" w:space="4" w:color="000000"/>
        </w:pBdr>
        <w:shd w:val="clear" w:color="auto" w:fill="CCCCCC"/>
        <w:spacing w:before="100" w:after="100"/>
        <w:jc w:val="center"/>
      </w:pPr>
      <w:r>
        <w:rPr>
          <w:rFonts w:cs="Arial"/>
          <w:b/>
        </w:rPr>
        <w:t xml:space="preserve">ANEXO I-A - do PO </w:t>
      </w:r>
      <w:r w:rsidR="00A6292E">
        <w:rPr>
          <w:rFonts w:cs="Arial"/>
          <w:b/>
        </w:rPr>
        <w:t>48</w:t>
      </w:r>
      <w:r>
        <w:rPr>
          <w:rFonts w:cs="Arial"/>
          <w:b/>
        </w:rPr>
        <w:t>/2022 - ESTUDOS TÉCNICOS PRELIMINARES</w:t>
      </w:r>
    </w:p>
    <w:tbl>
      <w:tblPr>
        <w:tblW w:w="11059" w:type="dxa"/>
        <w:tblInd w:w="-1101" w:type="dxa"/>
        <w:tblLayout w:type="fixed"/>
        <w:tblLook w:val="0000" w:firstRow="0" w:lastRow="0" w:firstColumn="0" w:lastColumn="0" w:noHBand="0" w:noVBand="0"/>
      </w:tblPr>
      <w:tblGrid>
        <w:gridCol w:w="3187"/>
        <w:gridCol w:w="7872"/>
      </w:tblGrid>
      <w:tr w:rsidR="000304D9" w14:paraId="6F5BB305" w14:textId="77777777">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tcPr>
          <w:p w14:paraId="2B556C17" w14:textId="0F8877FB" w:rsidR="000304D9" w:rsidRDefault="00CB7746">
            <w:pPr>
              <w:widowControl w:val="0"/>
              <w:rPr>
                <w:rFonts w:cs="Arial"/>
                <w:szCs w:val="20"/>
              </w:rPr>
            </w:pPr>
            <w:bookmarkStart w:id="0" w:name="_GoBack"/>
            <w:bookmarkEnd w:id="0"/>
            <w:r w:rsidRPr="00A6292E">
              <w:rPr>
                <w:rFonts w:cs="Arial"/>
                <w:b/>
                <w:szCs w:val="20"/>
              </w:rPr>
              <w:t xml:space="preserve">ETP </w:t>
            </w:r>
            <w:r w:rsidR="00A6292E" w:rsidRPr="00A6292E">
              <w:rPr>
                <w:rFonts w:cs="Arial"/>
                <w:b/>
                <w:szCs w:val="20"/>
              </w:rPr>
              <w:t>48</w:t>
            </w:r>
            <w:r w:rsidRPr="00A6292E">
              <w:rPr>
                <w:rFonts w:cs="Arial"/>
                <w:b/>
                <w:szCs w:val="20"/>
              </w:rPr>
              <w:t>/2022</w:t>
            </w:r>
          </w:p>
          <w:p w14:paraId="07206C2D" w14:textId="77777777" w:rsidR="000304D9" w:rsidRDefault="000304D9">
            <w:pPr>
              <w:widowControl w:val="0"/>
              <w:jc w:val="center"/>
              <w:rPr>
                <w:rFonts w:cs="Arial"/>
                <w:b/>
                <w:szCs w:val="20"/>
              </w:rPr>
            </w:pPr>
          </w:p>
          <w:p w14:paraId="01E2A835" w14:textId="77777777" w:rsidR="000304D9" w:rsidRDefault="00CB7746">
            <w:pPr>
              <w:widowControl w:val="0"/>
              <w:jc w:val="both"/>
              <w:rPr>
                <w:rFonts w:cs="Arial"/>
                <w:szCs w:val="20"/>
              </w:rPr>
            </w:pPr>
            <w:r>
              <w:rPr>
                <w:rFonts w:cs="Arial"/>
                <w:b/>
                <w:szCs w:val="20"/>
              </w:rPr>
              <w:t xml:space="preserve">OBJETO: </w:t>
            </w:r>
            <w:r>
              <w:rPr>
                <w:rFonts w:cs="Arial"/>
                <w:szCs w:val="20"/>
              </w:rPr>
              <w:t xml:space="preserve">Contratação de </w:t>
            </w:r>
            <w:r>
              <w:rPr>
                <w:rFonts w:cs="Arial"/>
                <w:b/>
                <w:szCs w:val="20"/>
              </w:rPr>
              <w:t>serviço de Bombeiro Civil</w:t>
            </w:r>
            <w:r>
              <w:rPr>
                <w:rFonts w:cs="Arial"/>
                <w:szCs w:val="20"/>
              </w:rPr>
              <w:t xml:space="preserve"> para o Tribunal Regional do Trabalho da 9ª Região, Polo Curitiba, compreendendo o fornecimento de mão de obra e uniformes, conforme condições, quantidades e exigências estabelecidas nos documentos que instruem a presente contratação. </w:t>
            </w:r>
          </w:p>
        </w:tc>
      </w:tr>
      <w:tr w:rsidR="000304D9" w14:paraId="28F51098" w14:textId="77777777">
        <w:trPr>
          <w:trHeight w:val="445"/>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EFC8BF" w14:textId="77777777" w:rsidR="000304D9" w:rsidRDefault="00CB7746">
            <w:pPr>
              <w:widowControl w:val="0"/>
              <w:numPr>
                <w:ilvl w:val="0"/>
                <w:numId w:val="1"/>
              </w:numPr>
              <w:jc w:val="center"/>
              <w:rPr>
                <w:rFonts w:cs="Arial"/>
                <w:szCs w:val="20"/>
              </w:rPr>
            </w:pPr>
            <w:r>
              <w:rPr>
                <w:rFonts w:cs="Arial"/>
                <w:b/>
                <w:szCs w:val="20"/>
              </w:rPr>
              <w:t>Necessidade do demandante:</w:t>
            </w:r>
          </w:p>
        </w:tc>
      </w:tr>
      <w:tr w:rsidR="000304D9" w14:paraId="53704A78" w14:textId="77777777">
        <w:trPr>
          <w:trHeight w:val="1470"/>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8A5C73" w14:textId="77777777" w:rsidR="000304D9" w:rsidRDefault="00CB7746">
            <w:pPr>
              <w:pStyle w:val="Nivel01"/>
              <w:keepNext w:val="0"/>
              <w:keepLines w:val="0"/>
              <w:widowControl w:val="0"/>
              <w:numPr>
                <w:ilvl w:val="0"/>
                <w:numId w:val="0"/>
              </w:numPr>
              <w:spacing w:before="120"/>
              <w:ind w:right="-17"/>
              <w:rPr>
                <w:rFonts w:cs="Arial"/>
                <w:b w:val="0"/>
                <w:bCs w:val="0"/>
              </w:rPr>
            </w:pPr>
            <w:r>
              <w:rPr>
                <w:rFonts w:cs="Calibri"/>
                <w:b w:val="0"/>
              </w:rPr>
              <w:t>O Contrato 20-2019, de prestação de serviços terceirizados de Bombeiro Civil para o TRT-9ª Região (PO 28-2019, PROAD 68-2019, Vetor 99412), com a empresa AMPLOS – Proteção Contra Incêndio Ltda., foi prorrogado por 12 (doze) meses, a partir de 15-08-2021, por meio do Quarto Termo Aditivo. Portanto, o prazo de vigência do Contrato 20-2019 irá até o dia 14-08-2022.</w:t>
            </w:r>
          </w:p>
          <w:p w14:paraId="4309A1B0" w14:textId="77777777" w:rsidR="000304D9" w:rsidRDefault="00CB7746">
            <w:pPr>
              <w:pStyle w:val="Nivel01"/>
              <w:keepNext w:val="0"/>
              <w:keepLines w:val="0"/>
              <w:widowControl w:val="0"/>
              <w:numPr>
                <w:ilvl w:val="0"/>
                <w:numId w:val="0"/>
              </w:numPr>
              <w:spacing w:before="120"/>
              <w:ind w:right="-17"/>
              <w:rPr>
                <w:rFonts w:cs="Arial"/>
                <w:b w:val="0"/>
                <w:bCs w:val="0"/>
                <w:color w:val="000000" w:themeColor="text1"/>
              </w:rPr>
            </w:pPr>
            <w:r>
              <w:rPr>
                <w:rFonts w:cs="Calibri"/>
                <w:b w:val="0"/>
              </w:rPr>
              <w:t xml:space="preserve">O Núcleo de Gestão de Terceiros encaminhou à empresa contratada AMPLOS – Proteção Contra Incêndio Ltda. o Ofício 09, de 31-01-2022, solicitando manifestação quanto ao </w:t>
            </w:r>
            <w:r>
              <w:rPr>
                <w:rFonts w:cs="Calibri"/>
                <w:b w:val="0"/>
                <w:color w:val="000000" w:themeColor="text1"/>
              </w:rPr>
              <w:t>interesse na prorrogação do contrato (a partir de 15-08-2022). Em resposta, a AMPLOS, por meio do Ofício 033/AMPLOS/2022, de 01-02-2022, respondeu que não tem interesse na prorrogação contratual.</w:t>
            </w:r>
          </w:p>
          <w:p w14:paraId="638CA4B8" w14:textId="77777777" w:rsidR="000304D9" w:rsidRDefault="00CB7746">
            <w:pPr>
              <w:widowControl w:val="0"/>
              <w:spacing w:before="120" w:after="120" w:line="276" w:lineRule="auto"/>
              <w:jc w:val="both"/>
              <w:rPr>
                <w:rFonts w:cs="Arial"/>
                <w:color w:val="000000"/>
                <w:szCs w:val="20"/>
              </w:rPr>
            </w:pPr>
            <w:r>
              <w:rPr>
                <w:rStyle w:val="Forte"/>
                <w:b w:val="0"/>
                <w:color w:val="000000" w:themeColor="text1"/>
                <w:szCs w:val="20"/>
              </w:rPr>
              <w:t>Considerando (I) que o quadro funcional deste Tribunal não conta com cargos de Bombeiro Civil; (II) as disposições das Normas Técnicas NBR ABNT 14277 e 14608 e da Lei nº 11.901/2009; e (III) a necessidade de prestar atendimento de primeiros-socorros, em caso de sinistro, e de prevenir e combater incêndios no âmbito da Corte (IV), torna-se necessária a contratação de profissionais especializados para a realização das atividades diárias de Bombeiro Civil.</w:t>
            </w:r>
          </w:p>
          <w:p w14:paraId="25980122" w14:textId="77777777" w:rsidR="000304D9" w:rsidRDefault="000304D9">
            <w:pPr>
              <w:widowControl w:val="0"/>
              <w:jc w:val="both"/>
              <w:rPr>
                <w:rFonts w:cs="Arial"/>
                <w:szCs w:val="20"/>
              </w:rPr>
            </w:pPr>
          </w:p>
        </w:tc>
      </w:tr>
      <w:tr w:rsidR="000304D9" w14:paraId="2AB4D83D" w14:textId="77777777">
        <w:trPr>
          <w:trHeight w:val="446"/>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15E5C49F" w14:textId="77777777" w:rsidR="000304D9" w:rsidRDefault="00CB7746">
            <w:pPr>
              <w:widowControl w:val="0"/>
              <w:numPr>
                <w:ilvl w:val="0"/>
                <w:numId w:val="1"/>
              </w:numPr>
              <w:jc w:val="center"/>
              <w:rPr>
                <w:rFonts w:cs="Arial"/>
                <w:szCs w:val="20"/>
              </w:rPr>
            </w:pPr>
            <w:r>
              <w:rPr>
                <w:rFonts w:cs="Arial"/>
                <w:b/>
                <w:szCs w:val="20"/>
              </w:rPr>
              <w:t>Descrição dos Requisitos da contratação</w:t>
            </w:r>
          </w:p>
        </w:tc>
      </w:tr>
      <w:tr w:rsidR="000304D9" w14:paraId="069B6FA4" w14:textId="77777777">
        <w:trPr>
          <w:trHeight w:val="1568"/>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76D852C8" w14:textId="77777777" w:rsidR="000304D9" w:rsidRDefault="00CB7746">
            <w:pPr>
              <w:widowControl w:val="0"/>
              <w:spacing w:after="120"/>
              <w:ind w:hanging="5"/>
              <w:jc w:val="both"/>
              <w:rPr>
                <w:rFonts w:cs="Arial"/>
                <w:szCs w:val="20"/>
              </w:rPr>
            </w:pPr>
            <w:r>
              <w:rPr>
                <w:rFonts w:cs="Arial"/>
                <w:szCs w:val="20"/>
              </w:rPr>
              <w:t>-  Os requisitos necessários ao atendimento da necessidade estão no Termo de Referência, em anexo.</w:t>
            </w:r>
          </w:p>
          <w:p w14:paraId="63ECAC74" w14:textId="77777777" w:rsidR="000304D9" w:rsidRDefault="00CB7746">
            <w:pPr>
              <w:widowControl w:val="0"/>
              <w:spacing w:after="120"/>
              <w:ind w:left="279" w:hanging="246"/>
              <w:jc w:val="both"/>
              <w:rPr>
                <w:rFonts w:cs="Arial"/>
                <w:szCs w:val="20"/>
              </w:rPr>
            </w:pPr>
            <w:r>
              <w:rPr>
                <w:rFonts w:cs="Arial"/>
                <w:szCs w:val="20"/>
              </w:rPr>
              <w:t>- A Contratada deverá atender, no que couber, os critérios de sustentabilidade ambiental previstos na Resolução nº 310/2021 do Conselho Superior da Justiça do Trabalho, em particular:</w:t>
            </w:r>
          </w:p>
          <w:p w14:paraId="09A0CA44" w14:textId="77777777" w:rsidR="000304D9" w:rsidRDefault="00CB7746">
            <w:pPr>
              <w:widowControl w:val="0"/>
              <w:tabs>
                <w:tab w:val="left" w:pos="2835"/>
              </w:tabs>
              <w:spacing w:after="120"/>
              <w:ind w:left="279"/>
              <w:jc w:val="both"/>
              <w:rPr>
                <w:rFonts w:cs="Arial"/>
                <w:szCs w:val="20"/>
              </w:rPr>
            </w:pPr>
            <w:r>
              <w:rPr>
                <w:rFonts w:cs="Arial"/>
                <w:szCs w:val="20"/>
              </w:rPr>
              <w:t>I -  não possuir inscrição no cadastro de empregadores flagrados explorando trabalhadores em condições análogas às de escravo, instituído pela Portaria Interministerial MTPS/MMIRDH n. 04/2016;</w:t>
            </w:r>
          </w:p>
          <w:p w14:paraId="787C4A4C" w14:textId="77777777" w:rsidR="000304D9" w:rsidRDefault="00CB7746">
            <w:pPr>
              <w:widowControl w:val="0"/>
              <w:spacing w:after="120"/>
              <w:ind w:left="279"/>
              <w:jc w:val="both"/>
              <w:rPr>
                <w:rFonts w:cs="Arial"/>
                <w:szCs w:val="20"/>
              </w:rPr>
            </w:pPr>
            <w:r>
              <w:rPr>
                <w:rFonts w:cs="Arial"/>
                <w:szCs w:val="20"/>
              </w:rPr>
              <w:t>II - não ter sido condenada (a contratada ou seus dirigentes) por infração às leis de combate à discriminação de raça ou de gênero, ao trabalho infantil e ao trabalho escravo, em afronta ao previsto:</w:t>
            </w:r>
          </w:p>
          <w:p w14:paraId="533B3D45" w14:textId="77777777" w:rsidR="000304D9" w:rsidRDefault="00CB7746">
            <w:pPr>
              <w:widowControl w:val="0"/>
              <w:tabs>
                <w:tab w:val="left" w:pos="2835"/>
              </w:tabs>
              <w:spacing w:after="120"/>
              <w:ind w:left="279"/>
              <w:jc w:val="both"/>
              <w:rPr>
                <w:rStyle w:val="markedcontent"/>
                <w:rFonts w:cs="Arial"/>
                <w:szCs w:val="20"/>
              </w:rPr>
            </w:pPr>
            <w:r>
              <w:rPr>
                <w:rStyle w:val="markedcontent"/>
                <w:rFonts w:cs="Arial"/>
                <w:szCs w:val="20"/>
              </w:rPr>
              <w:t>a) Nos artigos 1º, 3º (inciso IV), 7º (inciso XXXIII) e 170 da Constituição Federal de 1988;</w:t>
            </w:r>
          </w:p>
          <w:p w14:paraId="22AA5D0E" w14:textId="77777777" w:rsidR="000304D9" w:rsidRDefault="00CB7746">
            <w:pPr>
              <w:widowControl w:val="0"/>
              <w:tabs>
                <w:tab w:val="left" w:pos="2835"/>
              </w:tabs>
              <w:spacing w:after="120"/>
              <w:ind w:left="279"/>
              <w:jc w:val="both"/>
              <w:rPr>
                <w:rStyle w:val="markedcontent"/>
                <w:rFonts w:cs="Arial"/>
                <w:szCs w:val="20"/>
              </w:rPr>
            </w:pPr>
            <w:r>
              <w:rPr>
                <w:rStyle w:val="markedcontent"/>
                <w:rFonts w:cs="Arial"/>
                <w:szCs w:val="20"/>
              </w:rPr>
              <w:t>b) Nos artigos 149, 203 e 207 do Código Penal Brasileiro;</w:t>
            </w:r>
          </w:p>
          <w:p w14:paraId="7CC0A585" w14:textId="77777777" w:rsidR="000304D9" w:rsidRDefault="00CB7746">
            <w:pPr>
              <w:widowControl w:val="0"/>
              <w:tabs>
                <w:tab w:val="left" w:pos="2835"/>
              </w:tabs>
              <w:spacing w:after="120"/>
              <w:ind w:left="279"/>
              <w:jc w:val="both"/>
              <w:rPr>
                <w:rStyle w:val="markedcontent"/>
                <w:rFonts w:cs="Arial"/>
                <w:szCs w:val="20"/>
              </w:rPr>
            </w:pPr>
            <w:r>
              <w:rPr>
                <w:rStyle w:val="markedcontent"/>
                <w:rFonts w:cs="Arial"/>
                <w:szCs w:val="20"/>
              </w:rPr>
              <w:t>c) No Decreto n° 5.017/2004 (promulga o Protocolo de Palermo);</w:t>
            </w:r>
          </w:p>
          <w:p w14:paraId="059ACB71" w14:textId="77777777" w:rsidR="000304D9" w:rsidRDefault="00CB7746">
            <w:pPr>
              <w:widowControl w:val="0"/>
              <w:tabs>
                <w:tab w:val="left" w:pos="2835"/>
              </w:tabs>
              <w:spacing w:after="120"/>
              <w:ind w:left="279"/>
              <w:jc w:val="both"/>
              <w:rPr>
                <w:rStyle w:val="markedcontent"/>
                <w:rFonts w:cs="Arial"/>
                <w:szCs w:val="20"/>
              </w:rPr>
            </w:pPr>
            <w:r>
              <w:rPr>
                <w:rStyle w:val="markedcontent"/>
                <w:rFonts w:cs="Arial"/>
                <w:szCs w:val="20"/>
              </w:rPr>
              <w:t>d) Nas Convenções da OIT nº 29 e nº 105;</w:t>
            </w:r>
          </w:p>
          <w:p w14:paraId="1E7B65BA" w14:textId="77777777" w:rsidR="000304D9" w:rsidRDefault="00CB7746">
            <w:pPr>
              <w:widowControl w:val="0"/>
              <w:tabs>
                <w:tab w:val="left" w:pos="2835"/>
              </w:tabs>
              <w:spacing w:after="120"/>
              <w:ind w:left="279"/>
              <w:jc w:val="both"/>
              <w:rPr>
                <w:rStyle w:val="markedcontent"/>
                <w:rFonts w:cs="Arial"/>
                <w:szCs w:val="20"/>
              </w:rPr>
            </w:pPr>
            <w:r>
              <w:rPr>
                <w:rStyle w:val="markedcontent"/>
                <w:rFonts w:cs="Arial"/>
                <w:szCs w:val="20"/>
              </w:rPr>
              <w:t>e) No Capítulo IV do Título III (Da Proteção do Trabalho do Menor) do Decreto-Lei nº 5.452/1943 (CLT);</w:t>
            </w:r>
          </w:p>
          <w:p w14:paraId="7EFA4278" w14:textId="77777777" w:rsidR="000304D9" w:rsidRDefault="00CB7746">
            <w:pPr>
              <w:widowControl w:val="0"/>
              <w:tabs>
                <w:tab w:val="left" w:pos="2835"/>
              </w:tabs>
              <w:spacing w:after="120"/>
              <w:ind w:left="279"/>
              <w:jc w:val="both"/>
              <w:rPr>
                <w:rStyle w:val="markedcontent"/>
                <w:rFonts w:cs="Arial"/>
                <w:szCs w:val="20"/>
              </w:rPr>
            </w:pPr>
            <w:r>
              <w:rPr>
                <w:rStyle w:val="markedcontent"/>
                <w:rFonts w:cs="Arial"/>
                <w:szCs w:val="20"/>
              </w:rPr>
              <w:t>f) Nos arts. 60 a 69 da Lei nº 8.069/1990 (ECA), que trata do Direito à Profissionalização e à Proteção no Trabalho;</w:t>
            </w:r>
          </w:p>
          <w:p w14:paraId="61D4F4BF" w14:textId="77777777" w:rsidR="000304D9" w:rsidRDefault="00CB7746">
            <w:pPr>
              <w:widowControl w:val="0"/>
              <w:spacing w:after="120"/>
              <w:ind w:left="279"/>
              <w:jc w:val="both"/>
              <w:rPr>
                <w:rStyle w:val="markedcontent"/>
                <w:rFonts w:cs="Arial"/>
                <w:szCs w:val="20"/>
              </w:rPr>
            </w:pPr>
            <w:r>
              <w:rPr>
                <w:rStyle w:val="markedcontent"/>
                <w:rFonts w:cs="Arial"/>
                <w:szCs w:val="20"/>
              </w:rPr>
              <w:t>g) No Decreto nº 6.481/2008, o qual trata da proibição das piores formas de trabalho infantil e ação imediata para sua eliminação.</w:t>
            </w:r>
          </w:p>
          <w:p w14:paraId="41BE26AB" w14:textId="77777777" w:rsidR="000304D9" w:rsidRDefault="00CB7746">
            <w:pPr>
              <w:widowControl w:val="0"/>
              <w:tabs>
                <w:tab w:val="left" w:pos="1168"/>
              </w:tabs>
              <w:spacing w:after="120" w:line="276" w:lineRule="auto"/>
              <w:ind w:left="137" w:hanging="137"/>
              <w:jc w:val="both"/>
              <w:rPr>
                <w:rFonts w:cs="Arial"/>
                <w:szCs w:val="20"/>
              </w:rPr>
            </w:pPr>
            <w:r>
              <w:rPr>
                <w:rFonts w:cs="Arial"/>
                <w:szCs w:val="20"/>
              </w:rPr>
              <w:t>- O prazo de vigência do Contrato é de 12 meses, podendo ser prorrogado por interesse das partes até o limite de 60 (sessenta) meses, nos termos da lei 8.666/1993.</w:t>
            </w:r>
          </w:p>
          <w:p w14:paraId="36DE3B73" w14:textId="77777777" w:rsidR="000304D9" w:rsidRDefault="00CB7746">
            <w:pPr>
              <w:widowControl w:val="0"/>
              <w:tabs>
                <w:tab w:val="left" w:pos="1168"/>
              </w:tabs>
              <w:spacing w:after="120" w:line="276" w:lineRule="auto"/>
              <w:ind w:left="137" w:hanging="137"/>
              <w:jc w:val="both"/>
              <w:rPr>
                <w:rFonts w:cs="Arial"/>
                <w:szCs w:val="20"/>
              </w:rPr>
            </w:pPr>
            <w:r>
              <w:rPr>
                <w:rFonts w:cs="Arial"/>
                <w:szCs w:val="20"/>
              </w:rPr>
              <w:t>- Não haverá necessidade de transferência de conhecimento.</w:t>
            </w:r>
          </w:p>
        </w:tc>
      </w:tr>
      <w:tr w:rsidR="000304D9" w14:paraId="41B6818B" w14:textId="77777777">
        <w:trPr>
          <w:trHeight w:val="361"/>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14169749" w14:textId="77777777" w:rsidR="000304D9" w:rsidRDefault="00CB7746">
            <w:pPr>
              <w:widowControl w:val="0"/>
              <w:numPr>
                <w:ilvl w:val="0"/>
                <w:numId w:val="1"/>
              </w:numPr>
              <w:jc w:val="center"/>
              <w:rPr>
                <w:rFonts w:cs="Arial"/>
                <w:szCs w:val="20"/>
              </w:rPr>
            </w:pPr>
            <w:r>
              <w:rPr>
                <w:rFonts w:cs="Arial"/>
                <w:b/>
                <w:szCs w:val="20"/>
              </w:rPr>
              <w:t>Levantamento de mercado, com prospecção e análise das alternativas possíveis de soluções</w:t>
            </w:r>
          </w:p>
        </w:tc>
      </w:tr>
      <w:tr w:rsidR="000304D9" w14:paraId="5E07E75A" w14:textId="77777777">
        <w:trPr>
          <w:trHeight w:val="1568"/>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119489EA" w14:textId="77777777" w:rsidR="000304D9" w:rsidRDefault="00CB7746">
            <w:pPr>
              <w:widowControl w:val="0"/>
              <w:jc w:val="both"/>
              <w:rPr>
                <w:rFonts w:cs="Arial"/>
                <w:color w:val="000000"/>
                <w:szCs w:val="20"/>
              </w:rPr>
            </w:pPr>
            <w:r>
              <w:rPr>
                <w:rFonts w:cs="Arial"/>
                <w:szCs w:val="20"/>
              </w:rPr>
              <w:lastRenderedPageBreak/>
              <w:t>A descentralização das atividades da Administração Pública Federal iniciou-se em 1967 por meio do Decreto-Lei 200. A seu turno, a Lei 5.645/1970 indicou algumas atividades que deveriam ser objeto de execução indireta (parágrafo único do artigo 3º posteriormente revogado pela lei 9.527/1997) e a contratação de serviços continuados com dedicação exclusiva de mão de obra foi regulamentada, de início, pelo Decreto 2.271/1997 e atualmente é disciplinada pelo Decreto nº 9.507/2018 combinado com a Portaria nº 443/2018 do extinto Ministério do Planejamento, Desenvolvimento e Gestão. O artigo 3º, parágrafo 1º desse último Decreto dispõe que no âmbito da Administração Pública Federal as atividades materiais auxiliares, instrumentais ou acessórias aos assuntos que constituem área de competência legal do órgão poderão ser objeto de execução indireta.</w:t>
            </w:r>
            <w:r>
              <w:rPr>
                <w:rFonts w:cs="Arial"/>
                <w:color w:val="000000"/>
                <w:szCs w:val="20"/>
              </w:rPr>
              <w:t xml:space="preserve"> </w:t>
            </w:r>
          </w:p>
          <w:p w14:paraId="0A7B9660" w14:textId="77777777" w:rsidR="000304D9" w:rsidRDefault="000304D9">
            <w:pPr>
              <w:widowControl w:val="0"/>
              <w:jc w:val="both"/>
              <w:rPr>
                <w:rFonts w:cs="Arial"/>
                <w:szCs w:val="20"/>
              </w:rPr>
            </w:pPr>
          </w:p>
          <w:p w14:paraId="4244957A" w14:textId="77777777" w:rsidR="000304D9" w:rsidRDefault="00CB7746">
            <w:pPr>
              <w:widowControl w:val="0"/>
              <w:jc w:val="both"/>
              <w:rPr>
                <w:rFonts w:cs="Arial"/>
                <w:szCs w:val="20"/>
              </w:rPr>
            </w:pPr>
            <w:r>
              <w:rPr>
                <w:rFonts w:cs="Arial"/>
                <w:szCs w:val="20"/>
              </w:rPr>
              <w:t>Finalmente, cabe ressaltar que outros órgãos da Administração Pública adotam soluções semelhantes (contratação de serviços de Bombeiro Civil) que o TRT9 pretende contratar, como, por exemplo, Universidade Federal de Ciências da Saúde de Porto Alegre – RS, Ministério da Infraestrutura – DF e Ministério do Meio Ambiente – DF.</w:t>
            </w:r>
          </w:p>
          <w:p w14:paraId="5C27306D" w14:textId="77777777" w:rsidR="000304D9" w:rsidRDefault="000304D9">
            <w:pPr>
              <w:widowControl w:val="0"/>
              <w:jc w:val="both"/>
              <w:rPr>
                <w:rFonts w:cs="Arial"/>
                <w:szCs w:val="20"/>
              </w:rPr>
            </w:pPr>
          </w:p>
          <w:p w14:paraId="6679ADE5" w14:textId="77777777" w:rsidR="000304D9" w:rsidRDefault="00CB7746">
            <w:pPr>
              <w:widowControl w:val="0"/>
              <w:jc w:val="both"/>
              <w:rPr>
                <w:rFonts w:cs="Arial"/>
                <w:szCs w:val="20"/>
              </w:rPr>
            </w:pPr>
            <w:r>
              <w:rPr>
                <w:rFonts w:cs="Arial"/>
                <w:szCs w:val="20"/>
              </w:rPr>
              <w:t>Em relação às soluções disponíveis para a operacionalização de serviços de Bombeiro Civil, uma contratação por demanda não seria a mais adequada porque as atividades não são sazonais, ao contrário, as necessidades da Corte nessa área são permanentes.</w:t>
            </w:r>
          </w:p>
          <w:p w14:paraId="65112466" w14:textId="77777777" w:rsidR="000304D9" w:rsidRDefault="000304D9">
            <w:pPr>
              <w:widowControl w:val="0"/>
              <w:ind w:firstLine="33"/>
              <w:jc w:val="both"/>
              <w:rPr>
                <w:rFonts w:cs="Arial"/>
                <w:szCs w:val="20"/>
              </w:rPr>
            </w:pPr>
          </w:p>
          <w:p w14:paraId="5DAE40B5" w14:textId="77777777" w:rsidR="000304D9" w:rsidRDefault="00CB7746">
            <w:pPr>
              <w:widowControl w:val="0"/>
              <w:jc w:val="both"/>
              <w:rPr>
                <w:rFonts w:cs="Arial"/>
                <w:szCs w:val="20"/>
              </w:rPr>
            </w:pPr>
            <w:r>
              <w:rPr>
                <w:rFonts w:cs="Arial"/>
                <w:szCs w:val="20"/>
              </w:rPr>
              <w:t>Dessa forma, chega-se a uma única solução possível, a nova contratação de postos de Bombeiro Civil (CBO 5171-10).</w:t>
            </w:r>
          </w:p>
          <w:p w14:paraId="00F54FED" w14:textId="77777777" w:rsidR="000304D9" w:rsidRDefault="000304D9">
            <w:pPr>
              <w:widowControl w:val="0"/>
              <w:jc w:val="both"/>
              <w:rPr>
                <w:rFonts w:cs="Arial"/>
                <w:szCs w:val="20"/>
              </w:rPr>
            </w:pPr>
          </w:p>
        </w:tc>
      </w:tr>
      <w:tr w:rsidR="000304D9" w14:paraId="5F138375" w14:textId="77777777">
        <w:trPr>
          <w:trHeight w:val="489"/>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704340A2" w14:textId="77777777" w:rsidR="000304D9" w:rsidRDefault="00CB7746">
            <w:pPr>
              <w:widowControl w:val="0"/>
              <w:numPr>
                <w:ilvl w:val="0"/>
                <w:numId w:val="1"/>
              </w:numPr>
              <w:jc w:val="center"/>
              <w:rPr>
                <w:rFonts w:cs="Arial"/>
                <w:szCs w:val="20"/>
              </w:rPr>
            </w:pPr>
            <w:r>
              <w:rPr>
                <w:rFonts w:cs="Arial"/>
                <w:b/>
                <w:szCs w:val="20"/>
              </w:rPr>
              <w:t>Descrição da solução escolhida e justificativa técnico-econômica</w:t>
            </w:r>
          </w:p>
        </w:tc>
      </w:tr>
      <w:tr w:rsidR="000304D9" w14:paraId="31469C27" w14:textId="77777777">
        <w:trPr>
          <w:trHeight w:val="1568"/>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0AA6FC0B" w14:textId="77777777" w:rsidR="000304D9" w:rsidRDefault="00CB7746">
            <w:pPr>
              <w:widowControl w:val="0"/>
              <w:spacing w:after="120"/>
              <w:ind w:firstLine="33"/>
              <w:jc w:val="both"/>
              <w:rPr>
                <w:rFonts w:cs="Arial"/>
                <w:szCs w:val="20"/>
              </w:rPr>
            </w:pPr>
            <w:r>
              <w:rPr>
                <w:rFonts w:cs="Arial"/>
                <w:szCs w:val="20"/>
              </w:rPr>
              <w:t>A descentralização das atividades da Administração Pública Federal iniciou-se em 1967 por meio do Decreto-Lei 200. A seu turno, a Lei 5.645/1970 indicou algumas atividades que deveriam ser objeto de execução indireta (parágrafo único do artigo 3º posteriormente revogado pela lei 9.527/1997) e a contratação de serviços continuados com dedicação exclusiva de mão de obra foi regulamentada, de início, pelo Decreto 2.271/1997 e atualmente é disciplinada pelo Decreto nº 9.507/2018 combinado com a Portaria nº 443/2018 do extinto Ministério do Planejamento, Desenvolvimento e Gestão. O artigo 3º, parágrafo 1º desse último Decreto dispõe que no âmbito da Administração Pública Federal as atividades materiais auxiliares, instrumentais ou acessórias aos assuntos que constituem área de competência legal do órgão poderão ser objeto de execução indireta.</w:t>
            </w:r>
            <w:r>
              <w:rPr>
                <w:rFonts w:cs="Arial"/>
                <w:color w:val="000000"/>
                <w:szCs w:val="20"/>
              </w:rPr>
              <w:t xml:space="preserve"> </w:t>
            </w:r>
          </w:p>
          <w:p w14:paraId="431FF1FC" w14:textId="77777777" w:rsidR="000304D9" w:rsidRDefault="00CB7746">
            <w:pPr>
              <w:widowControl w:val="0"/>
              <w:spacing w:after="120"/>
              <w:ind w:firstLine="33"/>
              <w:jc w:val="both"/>
              <w:rPr>
                <w:rFonts w:cs="Arial"/>
                <w:szCs w:val="20"/>
              </w:rPr>
            </w:pPr>
            <w:r>
              <w:rPr>
                <w:rFonts w:cs="Arial"/>
                <w:szCs w:val="20"/>
              </w:rPr>
              <w:t>Por sua vez, o artigo 1º, inciso XXI da mencionada Portaria MPDG estabelece que as atividades de "segurança, vigilância patrimonial e brigada de incêndio", serão, de preferência, objeto de execução indireta.</w:t>
            </w:r>
          </w:p>
          <w:p w14:paraId="3B932F08" w14:textId="77777777" w:rsidR="000304D9" w:rsidRDefault="00CB7746">
            <w:pPr>
              <w:widowControl w:val="0"/>
              <w:spacing w:after="120"/>
              <w:ind w:firstLine="33"/>
              <w:jc w:val="both"/>
              <w:rPr>
                <w:rFonts w:cs="Arial"/>
                <w:szCs w:val="20"/>
              </w:rPr>
            </w:pPr>
            <w:r>
              <w:rPr>
                <w:rFonts w:cs="Arial"/>
                <w:szCs w:val="20"/>
              </w:rPr>
              <w:t xml:space="preserve">Percebe-se, portanto, que as atribuições de Bombeiro Civil, na qualidade de atividades materiais acessórias às competências do Tribunal, devem ser objeto de execução indireta, a fim de impedir o crescimento e descentralizar a máquina pública, tornando-a mais flexível, dinâmica e economizando recursos orçamentários do Erário. </w:t>
            </w:r>
          </w:p>
          <w:p w14:paraId="1880219F" w14:textId="77777777" w:rsidR="000304D9" w:rsidRDefault="00CB7746">
            <w:pPr>
              <w:widowControl w:val="0"/>
              <w:spacing w:after="120"/>
              <w:ind w:firstLine="33"/>
              <w:jc w:val="both"/>
              <w:rPr>
                <w:rFonts w:cs="Arial"/>
                <w:szCs w:val="20"/>
              </w:rPr>
            </w:pPr>
            <w:r>
              <w:rPr>
                <w:rFonts w:cs="Arial"/>
                <w:szCs w:val="20"/>
              </w:rPr>
              <w:t>Nessa mesma linha, aliás, a Instrução Normativa 5/2017 do Ministério de Planejamento, Desenvolvimento e Gestão, que dispõe em seu artigo 8º que poderá ser admitida a contratação de serviço de apoio administrativo e o seu artigo 9º, inciso IV que dispõe que as atividades inerentes às categorias funcionais abrangidas pelo plano de cargos do órgão ou entidade não serão objeto de execução indireta da Administração Pública.</w:t>
            </w:r>
          </w:p>
          <w:p w14:paraId="069690D4" w14:textId="77777777" w:rsidR="000304D9" w:rsidRDefault="00CB7746">
            <w:pPr>
              <w:widowControl w:val="0"/>
              <w:spacing w:after="120"/>
              <w:ind w:firstLine="33"/>
              <w:jc w:val="both"/>
              <w:rPr>
                <w:rStyle w:val="Forte"/>
                <w:rFonts w:eastAsiaTheme="majorEastAsia" w:cs="Arial"/>
                <w:b w:val="0"/>
                <w:szCs w:val="20"/>
              </w:rPr>
            </w:pPr>
            <w:r>
              <w:rPr>
                <w:rStyle w:val="Forte"/>
                <w:rFonts w:eastAsiaTheme="majorEastAsia" w:cs="Arial"/>
                <w:b w:val="0"/>
                <w:szCs w:val="20"/>
              </w:rPr>
              <w:t>Uma vez que não há no quadro de pessoal do Tribunal cargos especializados com as atribuições indicadas, a terceirização é indicada para a execução das atividades de prevenção de incêndio/abandono de edificação/primeiros socorros por meio da contratação de Bombeiros Civis.</w:t>
            </w:r>
          </w:p>
          <w:p w14:paraId="593ED41B" w14:textId="77777777" w:rsidR="000304D9" w:rsidRDefault="00CB7746">
            <w:pPr>
              <w:widowControl w:val="0"/>
              <w:spacing w:after="120"/>
              <w:ind w:firstLine="33"/>
              <w:jc w:val="both"/>
              <w:rPr>
                <w:rFonts w:cs="Arial"/>
                <w:szCs w:val="20"/>
              </w:rPr>
            </w:pPr>
            <w:r>
              <w:rPr>
                <w:rFonts w:cs="Arial"/>
                <w:szCs w:val="20"/>
              </w:rPr>
              <w:t>Considere-se, ainda, que serviços de Bombeiro Civil com mão de obra residente estão inseridos na gestão dos recursos humanos colocados à disposição do Tribunal, na medida em que os trabalhadores terceirizados são a força de trabalho auxiliar do Poder Judiciário e também estão enquadrados nos recursos orçamentários, uma vez que tal dispêndio deixa de impactar no orçamento de despesa com pessoal, conforme a atual política de reforma fiscal e orçamentária adotada no País, nos termos da Emenda Constitucional 95/16.</w:t>
            </w:r>
          </w:p>
          <w:p w14:paraId="5A5BE766" w14:textId="77777777" w:rsidR="000304D9" w:rsidRDefault="00CB7746">
            <w:pPr>
              <w:widowControl w:val="0"/>
              <w:spacing w:after="120"/>
              <w:jc w:val="both"/>
              <w:rPr>
                <w:rFonts w:cs="Arial"/>
                <w:szCs w:val="20"/>
              </w:rPr>
            </w:pPr>
            <w:r>
              <w:rPr>
                <w:rFonts w:cs="Arial"/>
                <w:szCs w:val="20"/>
              </w:rPr>
              <w:t xml:space="preserve">Tampouco seria economicamente viável que o serviço fosse prestado por servidor, posto que o técnico judiciário possui remuneração no valor de R$ 8.501,45, sendo R$ 3.163,07 relativo ao vencimento e R$ 4.428,30 de GAJ além do auxílio-alimentação de R$ 910,08. Isso sem considerar o cômputo do auxílio-saúde que pode ser de até R$ 1.013,49 e de vantagens pessoais, tais como, Adicional de Qualificação, bem como há também a despesa de natureza previdenciária a ser desembolsada pelo Tribunal, além da necessidade de substituições para o gozo de férias ou outras ausências legais. </w:t>
            </w:r>
          </w:p>
          <w:p w14:paraId="12C91ADC" w14:textId="77777777" w:rsidR="000304D9" w:rsidRDefault="00CB7746">
            <w:pPr>
              <w:widowControl w:val="0"/>
              <w:jc w:val="both"/>
              <w:rPr>
                <w:rFonts w:cs="Arial"/>
                <w:szCs w:val="20"/>
              </w:rPr>
            </w:pPr>
            <w:r>
              <w:rPr>
                <w:rFonts w:cs="Arial"/>
                <w:szCs w:val="20"/>
              </w:rPr>
              <w:t>Por isso justifica-se a contratação de empresa especializada na prestação de tais serviços.</w:t>
            </w:r>
          </w:p>
          <w:p w14:paraId="4818257D" w14:textId="77777777" w:rsidR="000304D9" w:rsidRDefault="000304D9">
            <w:pPr>
              <w:widowControl w:val="0"/>
              <w:jc w:val="both"/>
              <w:rPr>
                <w:rFonts w:cs="Arial"/>
                <w:szCs w:val="20"/>
              </w:rPr>
            </w:pPr>
          </w:p>
          <w:p w14:paraId="616315C2" w14:textId="77777777" w:rsidR="000304D9" w:rsidRDefault="000304D9">
            <w:pPr>
              <w:widowControl w:val="0"/>
              <w:jc w:val="both"/>
              <w:rPr>
                <w:rFonts w:cs="Arial"/>
                <w:szCs w:val="20"/>
              </w:rPr>
            </w:pPr>
          </w:p>
        </w:tc>
      </w:tr>
      <w:tr w:rsidR="000304D9" w14:paraId="6B7334D2" w14:textId="77777777">
        <w:trPr>
          <w:trHeight w:val="468"/>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7CE1547D" w14:textId="77777777" w:rsidR="000304D9" w:rsidRDefault="00CB7746">
            <w:pPr>
              <w:widowControl w:val="0"/>
              <w:numPr>
                <w:ilvl w:val="0"/>
                <w:numId w:val="1"/>
              </w:numPr>
              <w:jc w:val="center"/>
              <w:rPr>
                <w:rFonts w:cs="Arial"/>
                <w:szCs w:val="20"/>
              </w:rPr>
            </w:pPr>
            <w:r>
              <w:rPr>
                <w:rFonts w:cs="Arial"/>
                <w:b/>
                <w:szCs w:val="20"/>
              </w:rPr>
              <w:lastRenderedPageBreak/>
              <w:t>Estimativa das quantidades a serem contratadas</w:t>
            </w:r>
          </w:p>
        </w:tc>
      </w:tr>
      <w:tr w:rsidR="000304D9" w14:paraId="5EBC04B3" w14:textId="77777777">
        <w:trPr>
          <w:trHeight w:val="706"/>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3DBE4E68" w14:textId="77777777" w:rsidR="000304D9" w:rsidRDefault="000304D9">
            <w:pPr>
              <w:widowControl w:val="0"/>
              <w:snapToGrid w:val="0"/>
              <w:spacing w:after="29"/>
              <w:jc w:val="center"/>
              <w:rPr>
                <w:rFonts w:cs="Arial"/>
                <w:szCs w:val="20"/>
                <w:shd w:val="clear" w:color="auto" w:fill="FFFF00"/>
              </w:rPr>
            </w:pPr>
          </w:p>
          <w:tbl>
            <w:tblPr>
              <w:tblW w:w="9912" w:type="dxa"/>
              <w:jc w:val="center"/>
              <w:tblLayout w:type="fixed"/>
              <w:tblCellMar>
                <w:top w:w="28" w:type="dxa"/>
                <w:left w:w="28" w:type="dxa"/>
                <w:bottom w:w="28" w:type="dxa"/>
                <w:right w:w="28" w:type="dxa"/>
              </w:tblCellMar>
              <w:tblLook w:val="0000" w:firstRow="0" w:lastRow="0" w:firstColumn="0" w:lastColumn="0" w:noHBand="0" w:noVBand="0"/>
            </w:tblPr>
            <w:tblGrid>
              <w:gridCol w:w="615"/>
              <w:gridCol w:w="1581"/>
              <w:gridCol w:w="1576"/>
              <w:gridCol w:w="1777"/>
              <w:gridCol w:w="2807"/>
              <w:gridCol w:w="1556"/>
            </w:tblGrid>
            <w:tr w:rsidR="000304D9" w14:paraId="56E34E3A" w14:textId="77777777">
              <w:trPr>
                <w:trHeight w:val="386"/>
                <w:jc w:val="center"/>
              </w:trPr>
              <w:tc>
                <w:tcPr>
                  <w:tcW w:w="9911" w:type="dxa"/>
                  <w:gridSpan w:val="6"/>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8D2B7D5"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TRIBUNAL REGIONAL DO TRABALHO DA 9ª REGIÃO</w:t>
                  </w:r>
                </w:p>
              </w:tc>
            </w:tr>
            <w:tr w:rsidR="000304D9" w14:paraId="63E2AA65" w14:textId="77777777">
              <w:trPr>
                <w:trHeight w:val="376"/>
                <w:jc w:val="center"/>
              </w:trPr>
              <w:tc>
                <w:tcPr>
                  <w:tcW w:w="9911" w:type="dxa"/>
                  <w:gridSpan w:val="6"/>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93CFDD4"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PLANILHAS DE CUSTO E FORMAÇÃO DE PREÇOS – BOMBEIRO CIVIL</w:t>
                  </w:r>
                </w:p>
              </w:tc>
            </w:tr>
            <w:tr w:rsidR="000304D9" w14:paraId="1F2C4CEC" w14:textId="77777777">
              <w:trPr>
                <w:trHeight w:val="736"/>
                <w:jc w:val="center"/>
              </w:trPr>
              <w:tc>
                <w:tcPr>
                  <w:tcW w:w="61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9AFD29D"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Item</w:t>
                  </w:r>
                </w:p>
              </w:tc>
              <w:tc>
                <w:tcPr>
                  <w:tcW w:w="158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92F966B"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Localidade</w:t>
                  </w:r>
                </w:p>
              </w:tc>
              <w:tc>
                <w:tcPr>
                  <w:tcW w:w="157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1AA685A"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Posto</w:t>
                  </w:r>
                </w:p>
              </w:tc>
              <w:tc>
                <w:tcPr>
                  <w:tcW w:w="177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1722A99"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Qtde</w:t>
                  </w:r>
                </w:p>
              </w:tc>
              <w:tc>
                <w:tcPr>
                  <w:tcW w:w="280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3D90AA0"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Valor Unitário do Posto (R$)</w:t>
                  </w:r>
                </w:p>
              </w:tc>
              <w:tc>
                <w:tcPr>
                  <w:tcW w:w="155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87943D6"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Valor Mensal Total (R$)</w:t>
                  </w:r>
                </w:p>
              </w:tc>
            </w:tr>
            <w:tr w:rsidR="000304D9" w14:paraId="6C70F44F" w14:textId="77777777">
              <w:trPr>
                <w:trHeight w:val="376"/>
                <w:jc w:val="center"/>
              </w:trPr>
              <w:tc>
                <w:tcPr>
                  <w:tcW w:w="61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18FCDF5" w14:textId="77777777" w:rsidR="000304D9" w:rsidRDefault="00CB7746">
                  <w:pPr>
                    <w:pStyle w:val="Contedodatabela"/>
                    <w:spacing w:after="0"/>
                    <w:jc w:val="center"/>
                    <w:rPr>
                      <w:rFonts w:ascii="Arial" w:hAnsi="Arial" w:cs="Arial"/>
                      <w:sz w:val="20"/>
                      <w:szCs w:val="20"/>
                    </w:rPr>
                  </w:pPr>
                  <w:r>
                    <w:rPr>
                      <w:rFonts w:ascii="Arial" w:hAnsi="Arial" w:cs="Arial"/>
                      <w:color w:val="000000"/>
                      <w:sz w:val="20"/>
                      <w:szCs w:val="20"/>
                    </w:rPr>
                    <w:t>1</w:t>
                  </w:r>
                </w:p>
              </w:tc>
              <w:tc>
                <w:tcPr>
                  <w:tcW w:w="158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4DCE9C7" w14:textId="77777777" w:rsidR="000304D9" w:rsidRDefault="00CB7746">
                  <w:pPr>
                    <w:pStyle w:val="Contedodatabela"/>
                    <w:spacing w:after="0"/>
                    <w:jc w:val="center"/>
                    <w:rPr>
                      <w:rFonts w:ascii="Arial" w:hAnsi="Arial" w:cs="Arial"/>
                      <w:sz w:val="20"/>
                      <w:szCs w:val="20"/>
                    </w:rPr>
                  </w:pPr>
                  <w:r>
                    <w:rPr>
                      <w:rFonts w:ascii="Arial" w:hAnsi="Arial" w:cs="Arial"/>
                      <w:color w:val="000000"/>
                      <w:sz w:val="20"/>
                      <w:szCs w:val="20"/>
                    </w:rPr>
                    <w:t>Curitiba</w:t>
                  </w:r>
                </w:p>
              </w:tc>
              <w:tc>
                <w:tcPr>
                  <w:tcW w:w="157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A012C7F" w14:textId="77777777" w:rsidR="000304D9" w:rsidRDefault="00CB7746">
                  <w:pPr>
                    <w:pStyle w:val="Contedodatabela"/>
                    <w:spacing w:after="0"/>
                    <w:jc w:val="center"/>
                    <w:rPr>
                      <w:rFonts w:ascii="Arial" w:hAnsi="Arial" w:cs="Arial"/>
                      <w:sz w:val="20"/>
                      <w:szCs w:val="20"/>
                    </w:rPr>
                  </w:pPr>
                  <w:r>
                    <w:rPr>
                      <w:rFonts w:ascii="Arial" w:hAnsi="Arial" w:cs="Arial"/>
                      <w:color w:val="000000"/>
                      <w:sz w:val="20"/>
                      <w:szCs w:val="20"/>
                    </w:rPr>
                    <w:t>Bombeiro Civil</w:t>
                  </w:r>
                </w:p>
              </w:tc>
              <w:tc>
                <w:tcPr>
                  <w:tcW w:w="177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A14C1C4" w14:textId="77777777" w:rsidR="000304D9" w:rsidRDefault="00CB7746">
                  <w:pPr>
                    <w:pStyle w:val="Contedodatabela"/>
                    <w:spacing w:after="0"/>
                    <w:jc w:val="center"/>
                    <w:rPr>
                      <w:rFonts w:ascii="Arial" w:hAnsi="Arial" w:cs="Arial"/>
                      <w:sz w:val="20"/>
                      <w:szCs w:val="20"/>
                    </w:rPr>
                  </w:pPr>
                  <w:r>
                    <w:rPr>
                      <w:rFonts w:ascii="Arial" w:hAnsi="Arial" w:cs="Arial"/>
                      <w:color w:val="000000"/>
                      <w:sz w:val="20"/>
                      <w:szCs w:val="20"/>
                    </w:rPr>
                    <w:t>4</w:t>
                  </w:r>
                </w:p>
              </w:tc>
              <w:tc>
                <w:tcPr>
                  <w:tcW w:w="280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95A242D" w14:textId="09823DAB" w:rsidR="000304D9" w:rsidRDefault="00C47980">
                  <w:pPr>
                    <w:pStyle w:val="Contedodatabela"/>
                    <w:spacing w:after="0"/>
                    <w:jc w:val="center"/>
                    <w:rPr>
                      <w:rFonts w:ascii="Arial" w:hAnsi="Arial" w:cs="Arial"/>
                      <w:sz w:val="20"/>
                      <w:szCs w:val="20"/>
                    </w:rPr>
                  </w:pPr>
                  <w:r>
                    <w:rPr>
                      <w:rFonts w:ascii="Arial" w:hAnsi="Arial" w:cs="Arial"/>
                      <w:sz w:val="20"/>
                      <w:szCs w:val="20"/>
                    </w:rPr>
                    <w:t>8.061,69</w:t>
                  </w:r>
                </w:p>
              </w:tc>
              <w:tc>
                <w:tcPr>
                  <w:tcW w:w="155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22ABBBB" w14:textId="673197DF" w:rsidR="000304D9" w:rsidRDefault="00C47980">
                  <w:pPr>
                    <w:pStyle w:val="Contedodatabela"/>
                    <w:spacing w:after="0"/>
                    <w:jc w:val="center"/>
                    <w:rPr>
                      <w:rFonts w:ascii="Arial" w:hAnsi="Arial" w:cs="Arial"/>
                      <w:sz w:val="20"/>
                      <w:szCs w:val="20"/>
                    </w:rPr>
                  </w:pPr>
                  <w:r>
                    <w:rPr>
                      <w:rFonts w:ascii="Arial" w:hAnsi="Arial" w:cs="Arial"/>
                      <w:sz w:val="20"/>
                      <w:szCs w:val="20"/>
                    </w:rPr>
                    <w:t>32.246,78</w:t>
                  </w:r>
                </w:p>
              </w:tc>
            </w:tr>
            <w:tr w:rsidR="000304D9" w14:paraId="3E6AAE1B" w14:textId="77777777">
              <w:trPr>
                <w:trHeight w:val="376"/>
                <w:jc w:val="center"/>
              </w:trPr>
              <w:tc>
                <w:tcPr>
                  <w:tcW w:w="61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45972CF" w14:textId="77777777" w:rsidR="000304D9" w:rsidRDefault="000304D9">
                  <w:pPr>
                    <w:pStyle w:val="Contedodatabela"/>
                    <w:spacing w:after="0"/>
                    <w:jc w:val="center"/>
                    <w:rPr>
                      <w:rFonts w:ascii="Arial" w:hAnsi="Arial" w:cs="Arial"/>
                      <w:color w:val="000000"/>
                      <w:sz w:val="20"/>
                      <w:szCs w:val="20"/>
                    </w:rPr>
                  </w:pPr>
                </w:p>
              </w:tc>
              <w:tc>
                <w:tcPr>
                  <w:tcW w:w="7741" w:type="dxa"/>
                  <w:gridSpan w:val="4"/>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6964FA2" w14:textId="77777777" w:rsidR="000304D9" w:rsidRDefault="00CB7746">
                  <w:pPr>
                    <w:pStyle w:val="Contedodatabela"/>
                    <w:spacing w:after="0"/>
                    <w:jc w:val="center"/>
                    <w:rPr>
                      <w:rFonts w:ascii="Arial" w:hAnsi="Arial" w:cs="Arial"/>
                      <w:sz w:val="20"/>
                      <w:szCs w:val="20"/>
                    </w:rPr>
                  </w:pPr>
                  <w:r>
                    <w:rPr>
                      <w:rFonts w:ascii="Arial" w:hAnsi="Arial" w:cs="Arial"/>
                      <w:sz w:val="20"/>
                      <w:szCs w:val="20"/>
                    </w:rPr>
                    <w:t>Valor Global da proposta (valor mensal do serviço x número de meses do contrato)</w:t>
                  </w:r>
                </w:p>
              </w:tc>
              <w:tc>
                <w:tcPr>
                  <w:tcW w:w="155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F79CAED" w14:textId="0355B2DB" w:rsidR="000304D9" w:rsidRDefault="0007102D" w:rsidP="00C47980">
                  <w:pPr>
                    <w:pStyle w:val="Contedodatabela"/>
                    <w:spacing w:after="0"/>
                    <w:jc w:val="center"/>
                    <w:rPr>
                      <w:rFonts w:ascii="Arial" w:hAnsi="Arial" w:cs="Arial"/>
                      <w:sz w:val="20"/>
                      <w:szCs w:val="20"/>
                    </w:rPr>
                  </w:pPr>
                  <w:r>
                    <w:rPr>
                      <w:rFonts w:ascii="Arial" w:hAnsi="Arial" w:cs="Arial"/>
                      <w:sz w:val="20"/>
                      <w:szCs w:val="20"/>
                    </w:rPr>
                    <w:t>3</w:t>
                  </w:r>
                  <w:r w:rsidR="00C47980">
                    <w:rPr>
                      <w:rFonts w:ascii="Arial" w:hAnsi="Arial" w:cs="Arial"/>
                      <w:sz w:val="20"/>
                      <w:szCs w:val="20"/>
                    </w:rPr>
                    <w:t>86.961,32</w:t>
                  </w:r>
                </w:p>
              </w:tc>
            </w:tr>
          </w:tbl>
          <w:p w14:paraId="1DA60AA4" w14:textId="77777777" w:rsidR="000304D9" w:rsidRDefault="000304D9">
            <w:pPr>
              <w:widowControl w:val="0"/>
              <w:rPr>
                <w:rFonts w:cs="Arial"/>
                <w:szCs w:val="20"/>
              </w:rPr>
            </w:pPr>
          </w:p>
          <w:tbl>
            <w:tblPr>
              <w:tblW w:w="5881" w:type="dxa"/>
              <w:jc w:val="center"/>
              <w:tblLayout w:type="fixed"/>
              <w:tblCellMar>
                <w:top w:w="28" w:type="dxa"/>
                <w:left w:w="28" w:type="dxa"/>
                <w:bottom w:w="28" w:type="dxa"/>
                <w:right w:w="28" w:type="dxa"/>
              </w:tblCellMar>
              <w:tblLook w:val="0000" w:firstRow="0" w:lastRow="0" w:firstColumn="0" w:lastColumn="0" w:noHBand="0" w:noVBand="0"/>
            </w:tblPr>
            <w:tblGrid>
              <w:gridCol w:w="3858"/>
              <w:gridCol w:w="2023"/>
            </w:tblGrid>
            <w:tr w:rsidR="000304D9" w14:paraId="552C57D0" w14:textId="77777777">
              <w:trPr>
                <w:trHeight w:val="396"/>
                <w:jc w:val="center"/>
              </w:trPr>
              <w:tc>
                <w:tcPr>
                  <w:tcW w:w="385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5F2FE56"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TOTALIZAÇÃO (serviços + EPIs)</w:t>
                  </w:r>
                </w:p>
              </w:tc>
              <w:tc>
                <w:tcPr>
                  <w:tcW w:w="2023"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613EB07" w14:textId="77777777" w:rsidR="000304D9" w:rsidRDefault="00CB7746">
                  <w:pPr>
                    <w:pStyle w:val="Contedodatabela"/>
                    <w:spacing w:after="0"/>
                    <w:jc w:val="center"/>
                    <w:rPr>
                      <w:rFonts w:ascii="Arial" w:hAnsi="Arial" w:cs="Arial"/>
                      <w:sz w:val="20"/>
                      <w:szCs w:val="20"/>
                    </w:rPr>
                  </w:pPr>
                  <w:r>
                    <w:rPr>
                      <w:rFonts w:ascii="Arial" w:hAnsi="Arial" w:cs="Arial"/>
                      <w:b/>
                      <w:color w:val="000000"/>
                      <w:sz w:val="20"/>
                      <w:szCs w:val="20"/>
                    </w:rPr>
                    <w:t xml:space="preserve">Valor Mensal </w:t>
                  </w:r>
                </w:p>
              </w:tc>
            </w:tr>
            <w:tr w:rsidR="000304D9" w14:paraId="095A3866" w14:textId="77777777">
              <w:trPr>
                <w:trHeight w:val="396"/>
                <w:jc w:val="center"/>
              </w:trPr>
              <w:tc>
                <w:tcPr>
                  <w:tcW w:w="385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131B276" w14:textId="77777777" w:rsidR="000304D9" w:rsidRDefault="00CB7746">
                  <w:pPr>
                    <w:pStyle w:val="Contedodatabela"/>
                    <w:spacing w:after="0"/>
                    <w:jc w:val="center"/>
                    <w:rPr>
                      <w:rFonts w:ascii="Arial" w:hAnsi="Arial" w:cs="Arial"/>
                      <w:sz w:val="20"/>
                      <w:szCs w:val="20"/>
                    </w:rPr>
                  </w:pPr>
                  <w:r>
                    <w:rPr>
                      <w:rFonts w:ascii="Arial" w:hAnsi="Arial" w:cs="Arial"/>
                      <w:color w:val="000000"/>
                      <w:sz w:val="20"/>
                      <w:szCs w:val="20"/>
                    </w:rPr>
                    <w:t>Mão de obra</w:t>
                  </w:r>
                </w:p>
              </w:tc>
              <w:tc>
                <w:tcPr>
                  <w:tcW w:w="2023"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A9821ED" w14:textId="21376BEB" w:rsidR="000304D9" w:rsidRDefault="0007102D" w:rsidP="00C47980">
                  <w:pPr>
                    <w:pStyle w:val="Contedodatabela"/>
                    <w:spacing w:after="0"/>
                    <w:ind w:right="330"/>
                    <w:jc w:val="right"/>
                    <w:rPr>
                      <w:rFonts w:ascii="Arial" w:hAnsi="Arial" w:cs="Arial"/>
                      <w:sz w:val="20"/>
                      <w:szCs w:val="20"/>
                    </w:rPr>
                  </w:pPr>
                  <w:r>
                    <w:rPr>
                      <w:rFonts w:ascii="Arial" w:hAnsi="Arial" w:cs="Arial"/>
                      <w:sz w:val="20"/>
                      <w:szCs w:val="20"/>
                    </w:rPr>
                    <w:t>3</w:t>
                  </w:r>
                  <w:r w:rsidR="00C47980">
                    <w:rPr>
                      <w:rFonts w:ascii="Arial" w:hAnsi="Arial" w:cs="Arial"/>
                      <w:sz w:val="20"/>
                      <w:szCs w:val="20"/>
                    </w:rPr>
                    <w:t>2.246,78</w:t>
                  </w:r>
                </w:p>
              </w:tc>
            </w:tr>
            <w:tr w:rsidR="000304D9" w14:paraId="5F6014D0" w14:textId="77777777">
              <w:trPr>
                <w:trHeight w:val="376"/>
                <w:jc w:val="center"/>
              </w:trPr>
              <w:tc>
                <w:tcPr>
                  <w:tcW w:w="385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532567A" w14:textId="77777777" w:rsidR="000304D9" w:rsidRDefault="00CB7746">
                  <w:pPr>
                    <w:pStyle w:val="Contedodatabela"/>
                    <w:spacing w:after="0"/>
                    <w:jc w:val="center"/>
                    <w:rPr>
                      <w:rFonts w:ascii="Arial" w:hAnsi="Arial" w:cs="Arial"/>
                      <w:sz w:val="20"/>
                      <w:szCs w:val="20"/>
                    </w:rPr>
                  </w:pPr>
                  <w:r>
                    <w:rPr>
                      <w:rFonts w:ascii="Arial" w:hAnsi="Arial" w:cs="Arial"/>
                      <w:color w:val="000000"/>
                      <w:sz w:val="20"/>
                      <w:szCs w:val="20"/>
                    </w:rPr>
                    <w:t>EPI Covid</w:t>
                  </w:r>
                </w:p>
              </w:tc>
              <w:tc>
                <w:tcPr>
                  <w:tcW w:w="2023"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72C73B7" w14:textId="4FBE4B6F" w:rsidR="000304D9" w:rsidRDefault="0062647A" w:rsidP="00CB7746">
                  <w:pPr>
                    <w:pStyle w:val="Contedodatabela"/>
                    <w:spacing w:after="0"/>
                    <w:ind w:right="330"/>
                    <w:jc w:val="right"/>
                    <w:rPr>
                      <w:rFonts w:ascii="Arial" w:hAnsi="Arial" w:cs="Arial"/>
                      <w:sz w:val="20"/>
                      <w:szCs w:val="20"/>
                    </w:rPr>
                  </w:pPr>
                  <w:r>
                    <w:rPr>
                      <w:rFonts w:ascii="Arial" w:hAnsi="Arial" w:cs="Arial"/>
                      <w:sz w:val="20"/>
                      <w:szCs w:val="20"/>
                    </w:rPr>
                    <w:t>19,67</w:t>
                  </w:r>
                </w:p>
              </w:tc>
            </w:tr>
            <w:tr w:rsidR="000304D9" w14:paraId="59DAE27A" w14:textId="77777777">
              <w:trPr>
                <w:trHeight w:val="376"/>
                <w:jc w:val="center"/>
              </w:trPr>
              <w:tc>
                <w:tcPr>
                  <w:tcW w:w="385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40B4788" w14:textId="77777777" w:rsidR="000304D9" w:rsidRDefault="00CB7746">
                  <w:pPr>
                    <w:pStyle w:val="Contedodatabela"/>
                    <w:spacing w:after="0"/>
                    <w:jc w:val="center"/>
                    <w:rPr>
                      <w:rFonts w:ascii="Arial" w:hAnsi="Arial" w:cs="Arial"/>
                      <w:sz w:val="20"/>
                      <w:szCs w:val="20"/>
                    </w:rPr>
                  </w:pPr>
                  <w:r>
                    <w:rPr>
                      <w:rFonts w:ascii="Arial" w:hAnsi="Arial" w:cs="Arial"/>
                      <w:b/>
                      <w:bCs/>
                      <w:color w:val="000000"/>
                      <w:sz w:val="20"/>
                      <w:szCs w:val="20"/>
                    </w:rPr>
                    <w:t>TOTAL MENSAL</w:t>
                  </w:r>
                </w:p>
              </w:tc>
              <w:tc>
                <w:tcPr>
                  <w:tcW w:w="2023"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FC3E953" w14:textId="620AA22C" w:rsidR="000304D9" w:rsidRDefault="0062647A" w:rsidP="00CB7746">
                  <w:pPr>
                    <w:pStyle w:val="Contedodatabela"/>
                    <w:spacing w:after="0"/>
                    <w:ind w:right="330"/>
                    <w:jc w:val="right"/>
                    <w:rPr>
                      <w:rFonts w:ascii="Arial" w:hAnsi="Arial" w:cs="Arial"/>
                      <w:sz w:val="20"/>
                      <w:szCs w:val="20"/>
                    </w:rPr>
                  </w:pPr>
                  <w:r>
                    <w:rPr>
                      <w:rFonts w:ascii="Arial" w:hAnsi="Arial" w:cs="Arial"/>
                      <w:sz w:val="20"/>
                      <w:szCs w:val="20"/>
                    </w:rPr>
                    <w:t>32.266,45</w:t>
                  </w:r>
                </w:p>
              </w:tc>
            </w:tr>
            <w:tr w:rsidR="003C08F0" w14:paraId="110C1F02" w14:textId="77777777">
              <w:trPr>
                <w:trHeight w:val="376"/>
                <w:jc w:val="center"/>
              </w:trPr>
              <w:tc>
                <w:tcPr>
                  <w:tcW w:w="385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5EFA7A9" w14:textId="57EB49FE" w:rsidR="003C08F0" w:rsidRDefault="003C08F0">
                  <w:pPr>
                    <w:pStyle w:val="Contedodatabela"/>
                    <w:spacing w:after="0"/>
                    <w:jc w:val="center"/>
                    <w:rPr>
                      <w:rFonts w:ascii="Arial" w:hAnsi="Arial" w:cs="Arial"/>
                      <w:b/>
                      <w:bCs/>
                      <w:color w:val="000000"/>
                      <w:sz w:val="20"/>
                      <w:szCs w:val="20"/>
                    </w:rPr>
                  </w:pPr>
                  <w:r>
                    <w:rPr>
                      <w:rFonts w:ascii="Arial" w:hAnsi="Arial" w:cs="Arial"/>
                      <w:b/>
                      <w:bCs/>
                      <w:color w:val="000000"/>
                      <w:sz w:val="20"/>
                      <w:szCs w:val="20"/>
                    </w:rPr>
                    <w:t>TOTAL ANUAL</w:t>
                  </w:r>
                </w:p>
              </w:tc>
              <w:tc>
                <w:tcPr>
                  <w:tcW w:w="2023"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5FFCA99" w14:textId="345A00AC" w:rsidR="003C08F0" w:rsidRDefault="003C08F0" w:rsidP="00CB7746">
                  <w:pPr>
                    <w:pStyle w:val="Contedodatabela"/>
                    <w:spacing w:after="0"/>
                    <w:ind w:right="330"/>
                    <w:jc w:val="right"/>
                    <w:rPr>
                      <w:rFonts w:ascii="Arial" w:hAnsi="Arial" w:cs="Arial"/>
                      <w:sz w:val="20"/>
                      <w:szCs w:val="20"/>
                    </w:rPr>
                  </w:pPr>
                  <w:r>
                    <w:rPr>
                      <w:rFonts w:ascii="Arial" w:hAnsi="Arial" w:cs="Arial"/>
                      <w:sz w:val="20"/>
                      <w:szCs w:val="20"/>
                    </w:rPr>
                    <w:t>387.197,36</w:t>
                  </w:r>
                </w:p>
              </w:tc>
            </w:tr>
          </w:tbl>
          <w:p w14:paraId="3D2F4D8B" w14:textId="77777777" w:rsidR="000304D9" w:rsidRDefault="000304D9">
            <w:pPr>
              <w:widowControl w:val="0"/>
              <w:rPr>
                <w:rFonts w:cs="Arial"/>
                <w:szCs w:val="20"/>
              </w:rPr>
            </w:pPr>
          </w:p>
          <w:p w14:paraId="5ABEA490" w14:textId="77777777" w:rsidR="000304D9" w:rsidRDefault="000304D9">
            <w:pPr>
              <w:widowControl w:val="0"/>
              <w:rPr>
                <w:rFonts w:cs="Arial"/>
                <w:szCs w:val="20"/>
              </w:rPr>
            </w:pPr>
          </w:p>
        </w:tc>
      </w:tr>
      <w:tr w:rsidR="000304D9" w14:paraId="087C18C8" w14:textId="77777777">
        <w:trPr>
          <w:trHeight w:val="532"/>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6E0D1F71" w14:textId="77777777" w:rsidR="000304D9" w:rsidRDefault="00CB7746">
            <w:pPr>
              <w:widowControl w:val="0"/>
              <w:numPr>
                <w:ilvl w:val="0"/>
                <w:numId w:val="1"/>
              </w:numPr>
              <w:jc w:val="center"/>
              <w:rPr>
                <w:rFonts w:cs="Arial"/>
                <w:szCs w:val="20"/>
              </w:rPr>
            </w:pPr>
            <w:r>
              <w:rPr>
                <w:rFonts w:cs="Arial"/>
                <w:b/>
                <w:szCs w:val="20"/>
              </w:rPr>
              <w:t>Estimativa do valor da contratação</w:t>
            </w:r>
          </w:p>
        </w:tc>
      </w:tr>
      <w:tr w:rsidR="000304D9" w14:paraId="62E07270" w14:textId="77777777">
        <w:trPr>
          <w:trHeight w:val="842"/>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1BCF6555" w14:textId="77777777" w:rsidR="000304D9" w:rsidRDefault="00CB7746">
            <w:pPr>
              <w:widowControl w:val="0"/>
              <w:jc w:val="both"/>
              <w:rPr>
                <w:rFonts w:cs="Arial"/>
                <w:szCs w:val="20"/>
              </w:rPr>
            </w:pPr>
            <w:r>
              <w:rPr>
                <w:rFonts w:cs="Arial"/>
                <w:szCs w:val="20"/>
              </w:rPr>
              <w:t xml:space="preserve">Em relação às planilhas de custo, utilizou-se o modelo recomendado na </w:t>
            </w:r>
            <w:r>
              <w:rPr>
                <w:rFonts w:cs="Arial"/>
                <w:color w:val="000000"/>
                <w:szCs w:val="20"/>
              </w:rPr>
              <w:t>Instrução Normativa nº 5/2017 do Ministério do Planejamento, Desenvolvimento e Gestão e, em rela</w:t>
            </w:r>
            <w:r>
              <w:rPr>
                <w:rFonts w:cs="Arial"/>
                <w:szCs w:val="20"/>
              </w:rPr>
              <w:t>ção aos salários e os insumos, observou-se o estabelecido na seguinte Convenção Coletiva de Trabalho:</w:t>
            </w:r>
          </w:p>
          <w:p w14:paraId="7E6F3BF3" w14:textId="77777777" w:rsidR="000304D9" w:rsidRDefault="00CB7746">
            <w:pPr>
              <w:widowControl w:val="0"/>
              <w:spacing w:before="240"/>
              <w:jc w:val="both"/>
              <w:rPr>
                <w:rFonts w:cs="Arial"/>
                <w:szCs w:val="20"/>
              </w:rPr>
            </w:pPr>
            <w:r>
              <w:rPr>
                <w:rFonts w:cs="Arial"/>
                <w:szCs w:val="20"/>
              </w:rPr>
              <w:t>- Convenção Coletiva de Trabalho 2022-2024 do Sindicato das Empresas de Asseio e Conservação no Estado do PR (SIEMACO).</w:t>
            </w:r>
          </w:p>
          <w:p w14:paraId="3C3FC395" w14:textId="77777777" w:rsidR="000304D9" w:rsidRDefault="000304D9">
            <w:pPr>
              <w:widowControl w:val="0"/>
              <w:jc w:val="both"/>
              <w:rPr>
                <w:rFonts w:cs="Arial"/>
                <w:color w:val="C9211E"/>
                <w:szCs w:val="20"/>
              </w:rPr>
            </w:pPr>
          </w:p>
          <w:p w14:paraId="753F123A" w14:textId="77777777" w:rsidR="000304D9" w:rsidRDefault="00CB7746">
            <w:pPr>
              <w:widowControl w:val="0"/>
              <w:jc w:val="both"/>
              <w:rPr>
                <w:rFonts w:cs="Arial"/>
                <w:szCs w:val="20"/>
              </w:rPr>
            </w:pPr>
            <w:r>
              <w:rPr>
                <w:rFonts w:cs="Arial"/>
                <w:szCs w:val="20"/>
              </w:rPr>
              <w:t>Em relação aos Encargos e Benefícios Anuais, Mensais e Diários:</w:t>
            </w:r>
          </w:p>
          <w:p w14:paraId="0FAB38E1" w14:textId="77777777" w:rsidR="000304D9" w:rsidRDefault="000304D9">
            <w:pPr>
              <w:widowControl w:val="0"/>
              <w:jc w:val="both"/>
              <w:rPr>
                <w:rFonts w:cs="Arial"/>
                <w:szCs w:val="20"/>
              </w:rPr>
            </w:pPr>
          </w:p>
          <w:p w14:paraId="36B1C251" w14:textId="77777777" w:rsidR="000304D9" w:rsidRDefault="00CB7746">
            <w:pPr>
              <w:widowControl w:val="0"/>
              <w:jc w:val="both"/>
              <w:rPr>
                <w:rFonts w:cs="Arial"/>
                <w:szCs w:val="20"/>
              </w:rPr>
            </w:pPr>
            <w:r>
              <w:rPr>
                <w:rFonts w:cs="Arial"/>
                <w:szCs w:val="20"/>
              </w:rPr>
              <w:t>A Resolução 169/13 do Conselho Nacional de Justiça dispõe acerca da necessidade de provisionamento das verbas a título de 13º salário, férias, terço constitucional de férias, e multa do FGTS. Assim, considerando-se a necessidade de se resguardar também os direitos dos substitutos, optou-se pelos seguintes percentuais:</w:t>
            </w:r>
            <w:r>
              <w:rPr>
                <w:rFonts w:cs="Arial"/>
                <w:color w:val="C9211E"/>
                <w:szCs w:val="20"/>
              </w:rPr>
              <w:t xml:space="preserve"> </w:t>
            </w:r>
          </w:p>
          <w:p w14:paraId="5C786834" w14:textId="77777777" w:rsidR="000304D9" w:rsidRDefault="000304D9">
            <w:pPr>
              <w:widowControl w:val="0"/>
              <w:jc w:val="both"/>
              <w:rPr>
                <w:rFonts w:cs="Arial"/>
                <w:color w:val="C9211E"/>
                <w:szCs w:val="20"/>
              </w:rPr>
            </w:pPr>
          </w:p>
          <w:p w14:paraId="1242775F" w14:textId="77777777" w:rsidR="000304D9" w:rsidRDefault="00CB7746">
            <w:pPr>
              <w:widowControl w:val="0"/>
              <w:ind w:left="670"/>
              <w:jc w:val="both"/>
              <w:rPr>
                <w:rFonts w:cs="Arial"/>
                <w:szCs w:val="20"/>
              </w:rPr>
            </w:pPr>
            <w:r>
              <w:rPr>
                <w:rFonts w:cs="Arial"/>
                <w:szCs w:val="20"/>
              </w:rPr>
              <w:t>Lei 4.090/62. Baseou-se nos Estudos do CNJ Resolução 98/2009 e determinou-se a provisão mensal considerando que na duração do contrato de 60 meses o empregado tem 05 meses de férias e labora 56 meses. O cálculo foi feito da seguinte forma: (5/56) x 100 = 8,93% (MPOG – Manual de preenchimento, 2011, p. 22)</w:t>
            </w:r>
          </w:p>
          <w:p w14:paraId="1AEA413E" w14:textId="77777777" w:rsidR="000304D9" w:rsidRDefault="000304D9">
            <w:pPr>
              <w:widowControl w:val="0"/>
              <w:ind w:left="720"/>
              <w:jc w:val="both"/>
              <w:rPr>
                <w:rFonts w:cs="Arial"/>
                <w:szCs w:val="20"/>
              </w:rPr>
            </w:pPr>
          </w:p>
          <w:p w14:paraId="27D5B72D" w14:textId="77777777" w:rsidR="000304D9" w:rsidRDefault="00CB7746">
            <w:pPr>
              <w:widowControl w:val="0"/>
              <w:ind w:left="720"/>
              <w:jc w:val="both"/>
              <w:rPr>
                <w:rFonts w:cs="Arial"/>
                <w:szCs w:val="20"/>
              </w:rPr>
            </w:pPr>
            <w:r>
              <w:rPr>
                <w:rFonts w:cs="Arial"/>
                <w:szCs w:val="20"/>
              </w:rPr>
              <w:t>Módulo 4.1 Encargos Previdenciários:</w:t>
            </w:r>
          </w:p>
          <w:p w14:paraId="4CE0F00B" w14:textId="77777777" w:rsidR="000304D9" w:rsidRDefault="00CB7746">
            <w:pPr>
              <w:widowControl w:val="0"/>
              <w:ind w:left="720"/>
              <w:jc w:val="both"/>
              <w:rPr>
                <w:rFonts w:cs="Arial"/>
                <w:szCs w:val="20"/>
              </w:rPr>
            </w:pPr>
            <w:r>
              <w:rPr>
                <w:rFonts w:cs="Arial"/>
                <w:szCs w:val="20"/>
              </w:rPr>
              <w:t>INSS: 20%, nos termos da Lei 8.212/91, artigo 22, I</w:t>
            </w:r>
          </w:p>
          <w:p w14:paraId="6C65C6C3" w14:textId="77777777" w:rsidR="000304D9" w:rsidRDefault="00CB7746">
            <w:pPr>
              <w:widowControl w:val="0"/>
              <w:ind w:left="720"/>
              <w:jc w:val="both"/>
              <w:rPr>
                <w:rFonts w:cs="Arial"/>
                <w:szCs w:val="20"/>
              </w:rPr>
            </w:pPr>
            <w:r>
              <w:rPr>
                <w:rFonts w:cs="Arial"/>
                <w:szCs w:val="20"/>
              </w:rPr>
              <w:t>Salário Educação: 2,5% nos termos do Decreto 87.403/82, artigo 3º, I</w:t>
            </w:r>
          </w:p>
          <w:p w14:paraId="17870ED8" w14:textId="77777777" w:rsidR="000304D9" w:rsidRDefault="00CB7746">
            <w:pPr>
              <w:widowControl w:val="0"/>
              <w:ind w:left="720"/>
              <w:jc w:val="both"/>
              <w:rPr>
                <w:rFonts w:cs="Arial"/>
                <w:szCs w:val="20"/>
              </w:rPr>
            </w:pPr>
            <w:r>
              <w:rPr>
                <w:rFonts w:cs="Arial"/>
                <w:szCs w:val="20"/>
              </w:rPr>
              <w:lastRenderedPageBreak/>
              <w:t>Seguro de Acidente de Trabalho: 6%, conforme a Lei 8.212/91, art. 22, II “b” e “c” (percentual máximo do FAP de 2% indicado pela previdência social, multiplicado pelo percentual de 3% de RAT)</w:t>
            </w:r>
          </w:p>
          <w:p w14:paraId="33512C71" w14:textId="77777777" w:rsidR="000304D9" w:rsidRDefault="00CB7746">
            <w:pPr>
              <w:widowControl w:val="0"/>
              <w:ind w:left="720"/>
              <w:jc w:val="both"/>
              <w:rPr>
                <w:rFonts w:cs="Arial"/>
                <w:szCs w:val="20"/>
              </w:rPr>
            </w:pPr>
            <w:r>
              <w:rPr>
                <w:rFonts w:cs="Arial"/>
                <w:szCs w:val="20"/>
              </w:rPr>
              <w:t>SESC/SESI: 1,50% - Lei 8.036/90 artigo 30</w:t>
            </w:r>
          </w:p>
          <w:p w14:paraId="4C22B8D3" w14:textId="77777777" w:rsidR="000304D9" w:rsidRDefault="00CB7746">
            <w:pPr>
              <w:widowControl w:val="0"/>
              <w:ind w:left="720"/>
              <w:jc w:val="both"/>
              <w:rPr>
                <w:rFonts w:cs="Arial"/>
                <w:szCs w:val="20"/>
              </w:rPr>
            </w:pPr>
            <w:r>
              <w:rPr>
                <w:rFonts w:cs="Arial"/>
                <w:szCs w:val="20"/>
              </w:rPr>
              <w:t>SENAI/SENAC: 1,00% - Decreto-lei 2.318/86</w:t>
            </w:r>
          </w:p>
          <w:p w14:paraId="6B196552" w14:textId="77777777" w:rsidR="000304D9" w:rsidRDefault="00CB7746">
            <w:pPr>
              <w:widowControl w:val="0"/>
              <w:ind w:left="720"/>
              <w:jc w:val="both"/>
              <w:rPr>
                <w:rFonts w:cs="Arial"/>
                <w:szCs w:val="20"/>
              </w:rPr>
            </w:pPr>
            <w:r>
              <w:rPr>
                <w:rFonts w:cs="Arial"/>
                <w:szCs w:val="20"/>
              </w:rPr>
              <w:t>SEBRAE: 0,60% - Lei 8.029/90</w:t>
            </w:r>
          </w:p>
          <w:p w14:paraId="4850DF7E" w14:textId="77777777" w:rsidR="000304D9" w:rsidRDefault="00CB7746">
            <w:pPr>
              <w:widowControl w:val="0"/>
              <w:ind w:left="720"/>
              <w:jc w:val="both"/>
              <w:rPr>
                <w:rFonts w:cs="Arial"/>
                <w:szCs w:val="20"/>
              </w:rPr>
            </w:pPr>
            <w:r>
              <w:rPr>
                <w:rFonts w:cs="Arial"/>
                <w:szCs w:val="20"/>
              </w:rPr>
              <w:t>INCRA: 0,20% - Decreto/lei 1.146/70 art. 1º, I</w:t>
            </w:r>
          </w:p>
          <w:p w14:paraId="619AC368" w14:textId="77777777" w:rsidR="000304D9" w:rsidRDefault="00CB7746">
            <w:pPr>
              <w:widowControl w:val="0"/>
              <w:ind w:left="720"/>
              <w:jc w:val="both"/>
              <w:rPr>
                <w:rFonts w:cs="Arial"/>
                <w:szCs w:val="20"/>
              </w:rPr>
            </w:pPr>
            <w:r>
              <w:rPr>
                <w:rFonts w:cs="Arial"/>
                <w:szCs w:val="20"/>
              </w:rPr>
              <w:t>FGTS: 8% - Lei 8.036/90, art. 15, e art. 7º, III da CF.</w:t>
            </w:r>
          </w:p>
          <w:p w14:paraId="0947566F" w14:textId="77777777" w:rsidR="000304D9" w:rsidRDefault="000304D9">
            <w:pPr>
              <w:widowControl w:val="0"/>
              <w:ind w:left="720"/>
              <w:jc w:val="both"/>
              <w:rPr>
                <w:rFonts w:cs="Arial"/>
                <w:szCs w:val="20"/>
              </w:rPr>
            </w:pPr>
          </w:p>
          <w:p w14:paraId="10CB9826" w14:textId="77777777" w:rsidR="000304D9" w:rsidRDefault="00CB7746">
            <w:pPr>
              <w:widowControl w:val="0"/>
              <w:jc w:val="both"/>
              <w:rPr>
                <w:rFonts w:cs="Arial"/>
                <w:szCs w:val="20"/>
              </w:rPr>
            </w:pPr>
            <w:r>
              <w:rPr>
                <w:rFonts w:cs="Arial"/>
                <w:szCs w:val="20"/>
              </w:rPr>
              <w:t>Insumos:</w:t>
            </w:r>
          </w:p>
          <w:p w14:paraId="6D98A9A4" w14:textId="77777777" w:rsidR="000304D9" w:rsidRDefault="00CB7746">
            <w:pPr>
              <w:widowControl w:val="0"/>
              <w:jc w:val="both"/>
              <w:rPr>
                <w:rFonts w:cs="Arial"/>
                <w:color w:val="C9211E"/>
                <w:szCs w:val="20"/>
              </w:rPr>
            </w:pPr>
            <w:r>
              <w:rPr>
                <w:rFonts w:cs="Arial"/>
                <w:szCs w:val="20"/>
              </w:rPr>
              <w:t>Para a obtenção dos valores de insumos: uniformes e equipamento de proteção individual, efetuou-se pesquisa de mercado no Banco de Preços, nos termos da Instrução Normativa 72/2020, e em sítios eletrônicos. Utilizou-se como critério para a obtenção do valor a média dos itens pesquisados sendo desconsiderados valores subavaliados ou superavaliados</w:t>
            </w:r>
            <w:r>
              <w:rPr>
                <w:rFonts w:cs="Arial"/>
                <w:color w:val="C9211E"/>
                <w:szCs w:val="20"/>
              </w:rPr>
              <w:t>.</w:t>
            </w:r>
          </w:p>
          <w:p w14:paraId="14B0EF7E" w14:textId="77777777" w:rsidR="000304D9" w:rsidRDefault="000304D9">
            <w:pPr>
              <w:widowControl w:val="0"/>
              <w:jc w:val="both"/>
              <w:rPr>
                <w:rFonts w:cs="Arial"/>
                <w:szCs w:val="20"/>
              </w:rPr>
            </w:pPr>
          </w:p>
        </w:tc>
      </w:tr>
      <w:tr w:rsidR="000304D9" w14:paraId="4225E841" w14:textId="77777777">
        <w:trPr>
          <w:trHeight w:val="414"/>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57931F55" w14:textId="77777777" w:rsidR="000304D9" w:rsidRDefault="00CB7746">
            <w:pPr>
              <w:widowControl w:val="0"/>
              <w:numPr>
                <w:ilvl w:val="0"/>
                <w:numId w:val="1"/>
              </w:numPr>
              <w:jc w:val="center"/>
              <w:rPr>
                <w:rFonts w:cs="Arial"/>
                <w:szCs w:val="20"/>
              </w:rPr>
            </w:pPr>
            <w:r>
              <w:rPr>
                <w:rFonts w:cs="Arial"/>
                <w:b/>
                <w:szCs w:val="20"/>
              </w:rPr>
              <w:lastRenderedPageBreak/>
              <w:t>Parcelamento ou não da solução</w:t>
            </w:r>
          </w:p>
        </w:tc>
      </w:tr>
      <w:tr w:rsidR="000304D9" w14:paraId="2B1BDCA8" w14:textId="77777777">
        <w:trPr>
          <w:trHeight w:val="1568"/>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434BE06D" w14:textId="77777777" w:rsidR="000304D9" w:rsidRDefault="00CB7746">
            <w:pPr>
              <w:widowControl w:val="0"/>
              <w:jc w:val="both"/>
              <w:rPr>
                <w:rFonts w:cs="Arial"/>
                <w:szCs w:val="20"/>
              </w:rPr>
            </w:pPr>
            <w:r>
              <w:rPr>
                <w:rFonts w:cs="Arial"/>
                <w:szCs w:val="20"/>
              </w:rPr>
              <w:t>Conforme disposto no</w:t>
            </w:r>
            <w:r>
              <w:rPr>
                <w:rFonts w:cs="Arial"/>
                <w:b/>
                <w:szCs w:val="20"/>
              </w:rPr>
              <w:t xml:space="preserve"> </w:t>
            </w:r>
            <w:r>
              <w:rPr>
                <w:rFonts w:cs="Arial"/>
                <w:szCs w:val="20"/>
              </w:rPr>
              <w:t xml:space="preserve">artigo 24, § 1º, VIII, da IN 5/2017, os Estudos Preliminares devem trazer as </w:t>
            </w:r>
            <w:r>
              <w:rPr>
                <w:rFonts w:cs="Arial"/>
                <w:i/>
                <w:szCs w:val="20"/>
              </w:rPr>
              <w:t>"justificativas para o parcelamento ou não da solução quando necessária para individualização do objeto”.</w:t>
            </w:r>
          </w:p>
          <w:p w14:paraId="50ED9521" w14:textId="77777777" w:rsidR="000304D9" w:rsidRDefault="000304D9">
            <w:pPr>
              <w:widowControl w:val="0"/>
              <w:jc w:val="both"/>
              <w:rPr>
                <w:rFonts w:cs="Arial"/>
                <w:szCs w:val="20"/>
              </w:rPr>
            </w:pPr>
          </w:p>
          <w:p w14:paraId="457F0388" w14:textId="77777777" w:rsidR="000304D9" w:rsidRDefault="00CB7746">
            <w:pPr>
              <w:widowControl w:val="0"/>
              <w:jc w:val="both"/>
              <w:rPr>
                <w:rFonts w:cs="Arial"/>
                <w:szCs w:val="20"/>
              </w:rPr>
            </w:pPr>
            <w:r>
              <w:rPr>
                <w:rFonts w:cs="Arial"/>
                <w:szCs w:val="20"/>
              </w:rPr>
              <w:t xml:space="preserve">A demanda por serviços de Bombeiro Civil é significativamente maior nas unidades do Tribunal sediadas na Capital (quatro localidades que contam com aproximadamente 1.200 servidores/magistrados/trabalhadores terceirizados), daí a alocação dos mencionados postos de serviço nas dependências do Fórum de 1º Grau da Justiça do Trabalho em Curitiba e da sede da Corte. </w:t>
            </w:r>
          </w:p>
          <w:p w14:paraId="34B74B81" w14:textId="77777777" w:rsidR="000304D9" w:rsidRDefault="000304D9">
            <w:pPr>
              <w:widowControl w:val="0"/>
              <w:jc w:val="both"/>
              <w:rPr>
                <w:rFonts w:cs="Arial"/>
                <w:szCs w:val="20"/>
              </w:rPr>
            </w:pPr>
          </w:p>
          <w:p w14:paraId="76D85832" w14:textId="77777777" w:rsidR="000304D9" w:rsidRDefault="00CB7746">
            <w:pPr>
              <w:widowControl w:val="0"/>
              <w:jc w:val="both"/>
              <w:rPr>
                <w:rFonts w:cs="Arial"/>
                <w:szCs w:val="20"/>
              </w:rPr>
            </w:pPr>
            <w:r>
              <w:rPr>
                <w:rFonts w:cs="Arial"/>
                <w:szCs w:val="20"/>
              </w:rPr>
              <w:t>Considerando que o presente caso concreto visa à contratação de somente quatro postos de Bombeiro Civil para a realização de serviço não divisível (</w:t>
            </w:r>
            <w:r>
              <w:rPr>
                <w:rFonts w:cs="Arial"/>
                <w:i/>
                <w:szCs w:val="20"/>
              </w:rPr>
              <w:t>prevenção de incêndio, primeiros socorros, etc</w:t>
            </w:r>
            <w:r>
              <w:rPr>
                <w:rFonts w:cs="Arial"/>
                <w:szCs w:val="20"/>
              </w:rPr>
              <w:t>) em uma única localidade/cidade (Curitiba), inaplicável o parcelamento.</w:t>
            </w:r>
          </w:p>
          <w:p w14:paraId="64BC692D" w14:textId="77777777" w:rsidR="000304D9" w:rsidRDefault="000304D9">
            <w:pPr>
              <w:widowControl w:val="0"/>
              <w:jc w:val="both"/>
              <w:rPr>
                <w:rFonts w:cs="Arial"/>
                <w:szCs w:val="20"/>
              </w:rPr>
            </w:pPr>
          </w:p>
        </w:tc>
      </w:tr>
      <w:tr w:rsidR="000304D9" w14:paraId="2B9E41A4" w14:textId="77777777">
        <w:trPr>
          <w:trHeight w:val="468"/>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66ECF5CA" w14:textId="77777777" w:rsidR="000304D9" w:rsidRDefault="00CB7746">
            <w:pPr>
              <w:widowControl w:val="0"/>
              <w:numPr>
                <w:ilvl w:val="0"/>
                <w:numId w:val="1"/>
              </w:numPr>
              <w:jc w:val="center"/>
              <w:rPr>
                <w:rFonts w:cs="Arial"/>
                <w:szCs w:val="20"/>
              </w:rPr>
            </w:pPr>
            <w:r>
              <w:rPr>
                <w:rFonts w:cs="Arial"/>
                <w:b/>
                <w:szCs w:val="20"/>
              </w:rPr>
              <w:t>Contratações correlatas ou interdependentes</w:t>
            </w:r>
          </w:p>
        </w:tc>
      </w:tr>
      <w:tr w:rsidR="000304D9" w14:paraId="18F969DE" w14:textId="77777777">
        <w:trPr>
          <w:trHeight w:val="666"/>
        </w:trPr>
        <w:tc>
          <w:tcPr>
            <w:tcW w:w="11058" w:type="dxa"/>
            <w:gridSpan w:val="2"/>
            <w:tcBorders>
              <w:left w:val="single" w:sz="4" w:space="0" w:color="000000"/>
              <w:bottom w:val="single" w:sz="4" w:space="0" w:color="000000"/>
              <w:right w:val="single" w:sz="4" w:space="0" w:color="000000"/>
            </w:tcBorders>
            <w:shd w:val="clear" w:color="auto" w:fill="auto"/>
            <w:vAlign w:val="center"/>
          </w:tcPr>
          <w:p w14:paraId="714902B2" w14:textId="77777777" w:rsidR="000304D9" w:rsidRDefault="00CB7746">
            <w:pPr>
              <w:widowControl w:val="0"/>
              <w:spacing w:after="120"/>
              <w:ind w:firstLine="33"/>
              <w:jc w:val="both"/>
              <w:rPr>
                <w:rFonts w:cs="Arial"/>
                <w:szCs w:val="20"/>
              </w:rPr>
            </w:pPr>
            <w:r>
              <w:rPr>
                <w:rFonts w:cs="Arial"/>
                <w:szCs w:val="20"/>
              </w:rPr>
              <w:t>Não existem contratações correlatas ou interdependentes com o objeto da presente contratação.</w:t>
            </w:r>
          </w:p>
        </w:tc>
      </w:tr>
      <w:tr w:rsidR="000304D9" w14:paraId="633DA2AD" w14:textId="77777777">
        <w:trPr>
          <w:trHeight w:val="539"/>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5F1F39" w14:textId="77777777" w:rsidR="000304D9" w:rsidRDefault="00CB7746">
            <w:pPr>
              <w:widowControl w:val="0"/>
              <w:numPr>
                <w:ilvl w:val="0"/>
                <w:numId w:val="1"/>
              </w:numPr>
              <w:jc w:val="center"/>
              <w:rPr>
                <w:rFonts w:cs="Arial"/>
                <w:szCs w:val="20"/>
              </w:rPr>
            </w:pPr>
            <w:r>
              <w:rPr>
                <w:rFonts w:cs="Arial"/>
                <w:b/>
                <w:szCs w:val="20"/>
              </w:rPr>
              <w:t>Conexão entre a contratação e o planejamento estratégico do TRT 9ª Região</w:t>
            </w:r>
          </w:p>
        </w:tc>
      </w:tr>
      <w:tr w:rsidR="000304D9" w14:paraId="27B837E4" w14:textId="77777777">
        <w:trPr>
          <w:trHeight w:val="1058"/>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969FF0" w14:textId="77777777" w:rsidR="000304D9" w:rsidRDefault="00CB7746">
            <w:pPr>
              <w:widowControl w:val="0"/>
              <w:spacing w:after="120"/>
              <w:ind w:firstLine="33"/>
              <w:jc w:val="both"/>
              <w:rPr>
                <w:rFonts w:cs="Arial"/>
                <w:szCs w:val="20"/>
              </w:rPr>
            </w:pPr>
            <w:r>
              <w:rPr>
                <w:rFonts w:cs="Arial"/>
                <w:szCs w:val="20"/>
              </w:rPr>
              <w:t>Consta no Plano Estratégico do Tribunal de 2021-2026:</w:t>
            </w:r>
          </w:p>
          <w:p w14:paraId="038292E8" w14:textId="77777777" w:rsidR="000304D9" w:rsidRDefault="00CB7746">
            <w:pPr>
              <w:widowControl w:val="0"/>
              <w:spacing w:after="120"/>
              <w:ind w:firstLine="33"/>
              <w:jc w:val="both"/>
              <w:rPr>
                <w:rFonts w:cs="Arial"/>
                <w:szCs w:val="20"/>
              </w:rPr>
            </w:pPr>
            <w:r>
              <w:rPr>
                <w:rFonts w:cs="Arial"/>
                <w:b/>
                <w:szCs w:val="20"/>
              </w:rPr>
              <w:t>"</w:t>
            </w:r>
            <w:r>
              <w:rPr>
                <w:rFonts w:cs="Arial"/>
                <w:szCs w:val="20"/>
              </w:rPr>
              <w:t xml:space="preserve"> </w:t>
            </w:r>
            <w:r>
              <w:rPr>
                <w:rFonts w:cs="Arial"/>
                <w:b/>
                <w:i/>
                <w:szCs w:val="20"/>
              </w:rPr>
              <w:t>PERSPECTIVA APRENDIZADO E CRESCIMENTO”</w:t>
            </w:r>
          </w:p>
          <w:p w14:paraId="434A8428" w14:textId="77777777" w:rsidR="000304D9" w:rsidRDefault="000304D9">
            <w:pPr>
              <w:widowControl w:val="0"/>
              <w:spacing w:after="120"/>
              <w:ind w:left="33"/>
              <w:jc w:val="both"/>
              <w:rPr>
                <w:rFonts w:cs="Arial"/>
                <w:b/>
                <w:i/>
                <w:szCs w:val="20"/>
              </w:rPr>
            </w:pPr>
          </w:p>
          <w:p w14:paraId="1CBCBD03" w14:textId="77777777" w:rsidR="000304D9" w:rsidRDefault="00CB7746">
            <w:pPr>
              <w:widowControl w:val="0"/>
              <w:spacing w:after="120"/>
              <w:ind w:left="33"/>
              <w:jc w:val="both"/>
              <w:rPr>
                <w:rFonts w:cs="Arial"/>
                <w:szCs w:val="20"/>
              </w:rPr>
            </w:pPr>
            <w:r>
              <w:rPr>
                <w:rFonts w:cs="Arial"/>
                <w:b/>
                <w:i/>
                <w:szCs w:val="20"/>
              </w:rPr>
              <w:t>OBJETIVO ESTRATÉGICO: APERFEIÇOAR A GESTÃO ORÇAMENTÁRIA E FINANCEIRA COM A OTIMIZAÇÃO DOS RECURSOS PLANEJADOS</w:t>
            </w:r>
            <w:r>
              <w:rPr>
                <w:rFonts w:cs="Arial"/>
                <w:i/>
                <w:szCs w:val="20"/>
              </w:rPr>
              <w:t xml:space="preserve"> </w:t>
            </w:r>
          </w:p>
          <w:p w14:paraId="0FABE4B3" w14:textId="77777777" w:rsidR="000304D9" w:rsidRDefault="00CB7746">
            <w:pPr>
              <w:widowControl w:val="0"/>
              <w:spacing w:after="120"/>
              <w:ind w:left="33"/>
              <w:jc w:val="both"/>
              <w:rPr>
                <w:rFonts w:cs="Arial"/>
                <w:i/>
                <w:szCs w:val="20"/>
              </w:rPr>
            </w:pPr>
            <w:r>
              <w:rPr>
                <w:rFonts w:cs="Arial"/>
                <w:i/>
                <w:szCs w:val="20"/>
              </w:rPr>
              <w:t>“Assegurar a eficiência da gestão de custos vinculada à estratégia, por meio do funcionamento aperfeiçoado de mecanismos de administração orçamentária e financeira, com dados íntegros sobre o planejamento e a qualidade da execução do orçamento”.</w:t>
            </w:r>
          </w:p>
          <w:p w14:paraId="50715AE1" w14:textId="77777777" w:rsidR="0046129C" w:rsidRPr="0046129C" w:rsidRDefault="0046129C">
            <w:pPr>
              <w:widowControl w:val="0"/>
              <w:spacing w:after="120"/>
              <w:ind w:left="33"/>
              <w:jc w:val="both"/>
              <w:rPr>
                <w:rFonts w:cs="Arial"/>
                <w:szCs w:val="20"/>
              </w:rPr>
            </w:pPr>
            <w:r>
              <w:rPr>
                <w:rFonts w:cs="Arial"/>
                <w:szCs w:val="20"/>
              </w:rPr>
              <w:t>A contratação encontra-se prevista no Plano de Aquisições 2022 – SLC – Secretaria de Licitações e Contratos, no</w:t>
            </w:r>
            <w:r w:rsidR="004F41B9">
              <w:rPr>
                <w:rFonts w:cs="Arial"/>
                <w:szCs w:val="20"/>
              </w:rPr>
              <w:t xml:space="preserve"> processo</w:t>
            </w:r>
            <w:r>
              <w:rPr>
                <w:rFonts w:cs="Arial"/>
                <w:szCs w:val="20"/>
              </w:rPr>
              <w:t xml:space="preserve"> Vetor 266782, ID 6199710, item SIGEO 151102022000224.</w:t>
            </w:r>
          </w:p>
        </w:tc>
      </w:tr>
      <w:tr w:rsidR="000304D9" w14:paraId="2BE95923" w14:textId="77777777">
        <w:trPr>
          <w:trHeight w:val="729"/>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44EA9C" w14:textId="77777777" w:rsidR="000304D9" w:rsidRDefault="00CB7746">
            <w:pPr>
              <w:widowControl w:val="0"/>
              <w:numPr>
                <w:ilvl w:val="0"/>
                <w:numId w:val="1"/>
              </w:numPr>
              <w:jc w:val="center"/>
              <w:rPr>
                <w:rFonts w:cs="Arial"/>
                <w:szCs w:val="20"/>
              </w:rPr>
            </w:pPr>
            <w:r>
              <w:rPr>
                <w:rFonts w:cs="Arial"/>
                <w:b/>
                <w:szCs w:val="20"/>
              </w:rPr>
              <w:t>Demonstrativo dos resultados pretendidos em termos de economicidade e de melhor aproveitamento dos recursos humanos, materiais ou financeiros disponíveis;</w:t>
            </w:r>
          </w:p>
        </w:tc>
      </w:tr>
      <w:tr w:rsidR="000304D9" w14:paraId="58DA6F9D" w14:textId="77777777">
        <w:trPr>
          <w:trHeight w:val="240"/>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tcPr>
          <w:p w14:paraId="320D4DDC" w14:textId="77777777" w:rsidR="000304D9" w:rsidRDefault="00CB7746">
            <w:pPr>
              <w:widowControl w:val="0"/>
              <w:spacing w:after="120"/>
              <w:jc w:val="both"/>
              <w:rPr>
                <w:rFonts w:cs="Arial"/>
                <w:szCs w:val="20"/>
              </w:rPr>
            </w:pPr>
            <w:r>
              <w:rPr>
                <w:rFonts w:cs="Arial"/>
                <w:szCs w:val="20"/>
              </w:rPr>
              <w:t>Em termos de economicidade e de melhor aproveitamento dos recursos humanos, materiais ou financeiros disponíveis, tem-se que direcionar um servidor para o</w:t>
            </w:r>
            <w:r>
              <w:rPr>
                <w:rFonts w:cs="Arial"/>
                <w:szCs w:val="20"/>
                <w:shd w:val="clear" w:color="auto" w:fill="FFFFFF"/>
              </w:rPr>
              <w:t xml:space="preserve"> serviço em questão não seria econômico na medida em que o custo médio de um posto de </w:t>
            </w:r>
            <w:r>
              <w:rPr>
                <w:rFonts w:cs="Arial"/>
                <w:color w:val="000000"/>
                <w:szCs w:val="20"/>
                <w:shd w:val="clear" w:color="auto" w:fill="FFFFFF"/>
              </w:rPr>
              <w:t xml:space="preserve">Bombeiro Civil é </w:t>
            </w:r>
            <w:r w:rsidRPr="00CC1448">
              <w:rPr>
                <w:rFonts w:cs="Arial"/>
                <w:color w:val="000000"/>
                <w:szCs w:val="20"/>
                <w:shd w:val="clear" w:color="auto" w:fill="FFFFFF"/>
              </w:rPr>
              <w:t xml:space="preserve">de R$ 8.117,34, </w:t>
            </w:r>
            <w:r w:rsidRPr="00CC1448">
              <w:rPr>
                <w:rFonts w:cs="Arial"/>
                <w:color w:val="000000"/>
                <w:szCs w:val="20"/>
              </w:rPr>
              <w:t>sendo essa a média dos orçamentos pesquisados, e a remuneração do cargo efetivo dos servidores qu</w:t>
            </w:r>
            <w:r w:rsidRPr="00CC1448">
              <w:rPr>
                <w:rFonts w:cs="Arial"/>
                <w:szCs w:val="20"/>
              </w:rPr>
              <w:t>e exercem o cargo</w:t>
            </w:r>
            <w:r>
              <w:rPr>
                <w:rFonts w:cs="Arial"/>
                <w:szCs w:val="20"/>
              </w:rPr>
              <w:t xml:space="preserve"> de técnico judiciário representa uma despesa mensal de no mínimo R$ 7.591,37, devendo-se somar a isto o custo relativo aos encargos previdenciários de 22% (teríamos que computar, ainda, o </w:t>
            </w:r>
            <w:r>
              <w:rPr>
                <w:rFonts w:cs="Arial"/>
                <w:szCs w:val="20"/>
              </w:rPr>
              <w:lastRenderedPageBreak/>
              <w:t>custo da reposição do servidor em caso de afastamentos legais, por exemplo, férias). O vencimento básico deste cargo é de R$ 3.163,07, o que somado à gratificação de atividade judiciária (GAJ) no valor de R$ 4.428,30 totaliza a remuneração acima citada de R$ 7.591,37, sem o cômputo de vantagens pecuniárias individuais. Tem-se ainda o auxílio alimentação de R$ 910,08 e o auxílio saúde de até R$ 1.013,49, valores estes sem o cômputo de vantagens pessoais, tais como, Adicional de Qualificação, VPNI, etc.</w:t>
            </w:r>
          </w:p>
          <w:p w14:paraId="4370C8F6" w14:textId="77777777" w:rsidR="000304D9" w:rsidRDefault="00CB7746">
            <w:pPr>
              <w:widowControl w:val="0"/>
              <w:spacing w:after="120"/>
              <w:jc w:val="both"/>
              <w:rPr>
                <w:rFonts w:cs="Arial"/>
                <w:szCs w:val="20"/>
              </w:rPr>
            </w:pPr>
            <w:r>
              <w:rPr>
                <w:rFonts w:cs="Arial"/>
                <w:szCs w:val="20"/>
              </w:rPr>
              <w:t>Dado o exposto, conclui-se que a presente contratação se destina a garantir a melhora da prestação jurisdicional à sociedade por meio de solução (terceirização ao invés da execução dos serviços por servidor público) mais eficiente e eficaz disponível.</w:t>
            </w:r>
          </w:p>
        </w:tc>
      </w:tr>
      <w:tr w:rsidR="000304D9" w14:paraId="395B048B" w14:textId="77777777">
        <w:trPr>
          <w:trHeight w:val="404"/>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tcPr>
          <w:p w14:paraId="4EF8C99A" w14:textId="77777777" w:rsidR="000304D9" w:rsidRDefault="00CB7746">
            <w:pPr>
              <w:widowControl w:val="0"/>
              <w:numPr>
                <w:ilvl w:val="0"/>
                <w:numId w:val="1"/>
              </w:numPr>
              <w:spacing w:line="276" w:lineRule="auto"/>
              <w:jc w:val="center"/>
              <w:rPr>
                <w:rFonts w:cs="Arial"/>
                <w:szCs w:val="20"/>
              </w:rPr>
            </w:pPr>
            <w:r>
              <w:rPr>
                <w:rFonts w:cs="Arial"/>
                <w:b/>
                <w:szCs w:val="20"/>
              </w:rPr>
              <w:lastRenderedPageBreak/>
              <w:t>Providências para adequação do ambiente do órgão;</w:t>
            </w:r>
          </w:p>
        </w:tc>
      </w:tr>
      <w:tr w:rsidR="000304D9" w14:paraId="2BA299C7" w14:textId="77777777">
        <w:trPr>
          <w:trHeight w:val="240"/>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tcPr>
          <w:p w14:paraId="73CA1C0A" w14:textId="77777777" w:rsidR="000304D9" w:rsidRDefault="00CB7746">
            <w:pPr>
              <w:widowControl w:val="0"/>
              <w:spacing w:after="120"/>
              <w:ind w:firstLine="33"/>
              <w:jc w:val="both"/>
              <w:rPr>
                <w:rFonts w:cs="Arial"/>
                <w:szCs w:val="20"/>
              </w:rPr>
            </w:pPr>
            <w:r>
              <w:rPr>
                <w:rFonts w:cs="Arial"/>
                <w:szCs w:val="20"/>
              </w:rPr>
              <w:t>Não serão necessárias adequações na Unidade do Tribunal, tampouco será necessária capacitação dos servidores responsáveis pela contratação e fiscalização do contrato.</w:t>
            </w:r>
          </w:p>
        </w:tc>
      </w:tr>
      <w:tr w:rsidR="000304D9" w14:paraId="43D085FD" w14:textId="77777777">
        <w:trPr>
          <w:trHeight w:val="417"/>
        </w:trPr>
        <w:tc>
          <w:tcPr>
            <w:tcW w:w="11058" w:type="dxa"/>
            <w:gridSpan w:val="2"/>
            <w:tcBorders>
              <w:left w:val="single" w:sz="4" w:space="0" w:color="000000"/>
              <w:bottom w:val="single" w:sz="4" w:space="0" w:color="000000"/>
              <w:right w:val="single" w:sz="4" w:space="0" w:color="000000"/>
            </w:tcBorders>
            <w:shd w:val="clear" w:color="auto" w:fill="auto"/>
          </w:tcPr>
          <w:p w14:paraId="17F241BC" w14:textId="77777777" w:rsidR="000304D9" w:rsidRDefault="00CB7746">
            <w:pPr>
              <w:widowControl w:val="0"/>
              <w:ind w:left="1437"/>
              <w:jc w:val="center"/>
              <w:rPr>
                <w:rFonts w:cs="Arial"/>
                <w:szCs w:val="20"/>
              </w:rPr>
            </w:pPr>
            <w:r>
              <w:rPr>
                <w:rFonts w:cs="Arial"/>
                <w:b/>
                <w:color w:val="000000"/>
                <w:szCs w:val="20"/>
              </w:rPr>
              <w:t xml:space="preserve">12. Critérios de Sustentabilidade e </w:t>
            </w:r>
            <w:r>
              <w:rPr>
                <w:rFonts w:cs="Arial"/>
                <w:b/>
                <w:szCs w:val="20"/>
              </w:rPr>
              <w:t>Possíveis impactos ambientais</w:t>
            </w:r>
          </w:p>
        </w:tc>
      </w:tr>
      <w:tr w:rsidR="000304D9" w14:paraId="723392E2" w14:textId="77777777">
        <w:trPr>
          <w:trHeight w:val="240"/>
        </w:trPr>
        <w:tc>
          <w:tcPr>
            <w:tcW w:w="11058" w:type="dxa"/>
            <w:gridSpan w:val="2"/>
            <w:tcBorders>
              <w:left w:val="single" w:sz="4" w:space="0" w:color="000000"/>
              <w:bottom w:val="single" w:sz="4" w:space="0" w:color="000000"/>
              <w:right w:val="single" w:sz="4" w:space="0" w:color="000000"/>
            </w:tcBorders>
            <w:shd w:val="clear" w:color="auto" w:fill="auto"/>
          </w:tcPr>
          <w:p w14:paraId="31B119B2" w14:textId="77777777" w:rsidR="000304D9" w:rsidRDefault="00CB7746">
            <w:pPr>
              <w:widowControl w:val="0"/>
              <w:snapToGrid w:val="0"/>
              <w:spacing w:after="120"/>
              <w:jc w:val="both"/>
              <w:rPr>
                <w:rFonts w:cs="Arial"/>
                <w:szCs w:val="20"/>
              </w:rPr>
            </w:pPr>
            <w:r>
              <w:rPr>
                <w:rFonts w:cs="Arial"/>
                <w:szCs w:val="20"/>
              </w:rPr>
              <w:t xml:space="preserve">Esta contratação está alinhada ao Plano de Logística Sustentável (PLS 2021-2026) do Tribunal Regional do Trabalho 9ª Região. Não há a previsão de impactos ambientais, não há necessidade de estratégia de mitigação de danos, e não há necessidade de licença ambiental para a presente contratação. Os Critérios de Sustentabilidade são aqueles descritos no item </w:t>
            </w:r>
            <w:r>
              <w:rPr>
                <w:rFonts w:cs="Arial"/>
                <w:color w:val="000000"/>
                <w:szCs w:val="20"/>
              </w:rPr>
              <w:t>6</w:t>
            </w:r>
            <w:r>
              <w:rPr>
                <w:rFonts w:cs="Arial"/>
                <w:szCs w:val="20"/>
              </w:rPr>
              <w:t xml:space="preserve"> do Termo de Referência.</w:t>
            </w:r>
          </w:p>
        </w:tc>
      </w:tr>
      <w:tr w:rsidR="000304D9" w14:paraId="1AC550CF" w14:textId="77777777">
        <w:trPr>
          <w:trHeight w:val="412"/>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96E468" w14:textId="77777777" w:rsidR="000304D9" w:rsidRDefault="00CB7746">
            <w:pPr>
              <w:widowControl w:val="0"/>
              <w:ind w:left="1077"/>
              <w:jc w:val="center"/>
              <w:rPr>
                <w:rFonts w:cs="Arial"/>
                <w:szCs w:val="20"/>
              </w:rPr>
            </w:pPr>
            <w:r>
              <w:rPr>
                <w:rFonts w:cs="Arial"/>
                <w:b/>
                <w:szCs w:val="20"/>
              </w:rPr>
              <w:t>13. Viabilidade e razoabilidade da contratação</w:t>
            </w:r>
          </w:p>
        </w:tc>
      </w:tr>
      <w:tr w:rsidR="000304D9" w14:paraId="5CACD478" w14:textId="77777777">
        <w:trPr>
          <w:trHeight w:val="240"/>
        </w:trPr>
        <w:tc>
          <w:tcPr>
            <w:tcW w:w="11058" w:type="dxa"/>
            <w:gridSpan w:val="2"/>
            <w:tcBorders>
              <w:top w:val="single" w:sz="4" w:space="0" w:color="000000"/>
              <w:left w:val="single" w:sz="4" w:space="0" w:color="000000"/>
              <w:bottom w:val="single" w:sz="4" w:space="0" w:color="000000"/>
              <w:right w:val="single" w:sz="4" w:space="0" w:color="000000"/>
            </w:tcBorders>
            <w:shd w:val="clear" w:color="auto" w:fill="auto"/>
          </w:tcPr>
          <w:p w14:paraId="1EB9E5AD" w14:textId="77777777" w:rsidR="000304D9" w:rsidRDefault="00CB7746">
            <w:pPr>
              <w:widowControl w:val="0"/>
              <w:spacing w:after="303"/>
              <w:jc w:val="both"/>
              <w:rPr>
                <w:rFonts w:cs="Arial"/>
                <w:szCs w:val="20"/>
              </w:rPr>
            </w:pPr>
            <w:r>
              <w:rPr>
                <w:rFonts w:cs="Arial"/>
                <w:color w:val="000000"/>
                <w:szCs w:val="20"/>
              </w:rPr>
              <w:t xml:space="preserve">Após este estudo preliminar, verificamos que o serviço objeto desta contratação é fundamental para um bom desempenho das atividades regulares dos servidores, magistrados e atendimento ao público externo. Com esta contratação será possível conciliar menores custos e o atendimento adequado das necessidades da Administração, isto posto constatamos, portanto, que é uma contratação viável e razoável. Será consignado a existência de orçamento disponível para a contratação. </w:t>
            </w:r>
          </w:p>
        </w:tc>
      </w:tr>
      <w:tr w:rsidR="000304D9" w14:paraId="5D55CA78" w14:textId="77777777">
        <w:trPr>
          <w:trHeight w:val="767"/>
        </w:trPr>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FE964" w14:textId="77777777" w:rsidR="000304D9" w:rsidRDefault="00CB7746">
            <w:pPr>
              <w:widowControl w:val="0"/>
              <w:jc w:val="center"/>
              <w:rPr>
                <w:rFonts w:cs="Arial"/>
                <w:szCs w:val="20"/>
              </w:rPr>
            </w:pPr>
            <w:r>
              <w:rPr>
                <w:rFonts w:cs="Arial"/>
                <w:b/>
                <w:szCs w:val="20"/>
              </w:rPr>
              <w:t>Anexos</w:t>
            </w:r>
          </w:p>
        </w:tc>
        <w:tc>
          <w:tcPr>
            <w:tcW w:w="7871" w:type="dxa"/>
            <w:tcBorders>
              <w:top w:val="single" w:sz="4" w:space="0" w:color="000000"/>
              <w:left w:val="single" w:sz="4" w:space="0" w:color="000000"/>
              <w:bottom w:val="single" w:sz="4" w:space="0" w:color="000000"/>
              <w:right w:val="single" w:sz="4" w:space="0" w:color="000000"/>
            </w:tcBorders>
            <w:shd w:val="clear" w:color="auto" w:fill="auto"/>
          </w:tcPr>
          <w:p w14:paraId="13898D74" w14:textId="77777777" w:rsidR="000304D9" w:rsidRDefault="00CB7746">
            <w:pPr>
              <w:widowControl w:val="0"/>
              <w:ind w:right="120"/>
              <w:jc w:val="both"/>
              <w:rPr>
                <w:rFonts w:cs="Arial"/>
                <w:szCs w:val="20"/>
              </w:rPr>
            </w:pPr>
            <w:r>
              <w:rPr>
                <w:rFonts w:cs="Arial"/>
                <w:szCs w:val="20"/>
              </w:rPr>
              <w:t>- Convenção Coletiva de Trabalho 2022-2024 do Sindicato das Empresas de Asseio e Conservação no Estado do PR (SIEMACO);</w:t>
            </w:r>
          </w:p>
          <w:p w14:paraId="03E9CDD5" w14:textId="77777777" w:rsidR="000304D9" w:rsidRDefault="00CB7746">
            <w:pPr>
              <w:widowControl w:val="0"/>
              <w:ind w:right="120"/>
              <w:jc w:val="both"/>
              <w:rPr>
                <w:rFonts w:cs="Arial"/>
                <w:szCs w:val="20"/>
              </w:rPr>
            </w:pPr>
            <w:r>
              <w:rPr>
                <w:rFonts w:cs="Arial"/>
                <w:szCs w:val="20"/>
              </w:rPr>
              <w:t>- Mapa de Riscos;</w:t>
            </w:r>
          </w:p>
          <w:p w14:paraId="3B8A16CE" w14:textId="77777777" w:rsidR="000304D9" w:rsidRDefault="00CB7746">
            <w:pPr>
              <w:widowControl w:val="0"/>
              <w:ind w:right="120"/>
              <w:jc w:val="both"/>
              <w:rPr>
                <w:rFonts w:cs="Arial"/>
                <w:szCs w:val="20"/>
              </w:rPr>
            </w:pPr>
            <w:r>
              <w:rPr>
                <w:rFonts w:cs="Arial"/>
                <w:szCs w:val="20"/>
              </w:rPr>
              <w:t>- Estudos Preliminares;</w:t>
            </w:r>
          </w:p>
          <w:p w14:paraId="3B99C00B" w14:textId="77777777" w:rsidR="000304D9" w:rsidRDefault="00CB7746">
            <w:pPr>
              <w:widowControl w:val="0"/>
              <w:jc w:val="both"/>
              <w:rPr>
                <w:rFonts w:cs="Arial"/>
                <w:szCs w:val="20"/>
              </w:rPr>
            </w:pPr>
            <w:r>
              <w:rPr>
                <w:rFonts w:cs="Arial"/>
                <w:szCs w:val="20"/>
              </w:rPr>
              <w:t>- Anexos dos Estudos Preliminares: (CBO - Classificação Brasileira de Ocupações);</w:t>
            </w:r>
          </w:p>
          <w:p w14:paraId="14692C5B" w14:textId="77777777" w:rsidR="000304D9" w:rsidRDefault="00CB7746">
            <w:pPr>
              <w:widowControl w:val="0"/>
              <w:ind w:right="120"/>
              <w:jc w:val="both"/>
              <w:rPr>
                <w:rFonts w:cs="Arial"/>
                <w:szCs w:val="20"/>
              </w:rPr>
            </w:pPr>
            <w:r>
              <w:rPr>
                <w:rFonts w:cs="Arial"/>
                <w:szCs w:val="20"/>
              </w:rPr>
              <w:t>- Planilha da estimativa de gastos;</w:t>
            </w:r>
          </w:p>
          <w:p w14:paraId="21D7680A" w14:textId="77777777" w:rsidR="000304D9" w:rsidRDefault="00CB7746">
            <w:pPr>
              <w:widowControl w:val="0"/>
              <w:ind w:right="120"/>
              <w:jc w:val="both"/>
              <w:rPr>
                <w:rFonts w:cs="Arial"/>
                <w:szCs w:val="20"/>
              </w:rPr>
            </w:pPr>
            <w:r>
              <w:rPr>
                <w:rFonts w:cs="Arial"/>
                <w:szCs w:val="20"/>
              </w:rPr>
              <w:t>- Planilha modelo de custos, uniforme;</w:t>
            </w:r>
          </w:p>
          <w:p w14:paraId="5FBF1E53" w14:textId="77777777" w:rsidR="000304D9" w:rsidRDefault="00CB7746">
            <w:pPr>
              <w:widowControl w:val="0"/>
              <w:ind w:right="120"/>
              <w:jc w:val="both"/>
              <w:rPr>
                <w:rFonts w:cs="Arial"/>
                <w:szCs w:val="20"/>
              </w:rPr>
            </w:pPr>
            <w:r>
              <w:rPr>
                <w:rFonts w:cs="Arial"/>
                <w:szCs w:val="20"/>
              </w:rPr>
              <w:t>- Pesquisa de Preços;</w:t>
            </w:r>
          </w:p>
          <w:p w14:paraId="41FB3610" w14:textId="77777777" w:rsidR="000304D9" w:rsidRDefault="00CB7746">
            <w:pPr>
              <w:widowControl w:val="0"/>
              <w:ind w:right="120"/>
              <w:jc w:val="both"/>
              <w:rPr>
                <w:rFonts w:cs="Arial"/>
                <w:szCs w:val="20"/>
              </w:rPr>
            </w:pPr>
            <w:r>
              <w:rPr>
                <w:rFonts w:cs="Arial"/>
                <w:szCs w:val="20"/>
              </w:rPr>
              <w:t>- Tabela comparativa de preços.</w:t>
            </w:r>
          </w:p>
        </w:tc>
      </w:tr>
    </w:tbl>
    <w:p w14:paraId="3F454273" w14:textId="77777777" w:rsidR="000304D9" w:rsidRDefault="000304D9">
      <w:pPr>
        <w:jc w:val="center"/>
        <w:rPr>
          <w:rFonts w:cs="Arial"/>
          <w:b/>
          <w:sz w:val="24"/>
        </w:rPr>
      </w:pPr>
    </w:p>
    <w:p w14:paraId="5F12FBFC" w14:textId="77777777" w:rsidR="000304D9" w:rsidRDefault="000304D9">
      <w:pPr>
        <w:rPr>
          <w:rFonts w:cs="Arial"/>
        </w:rPr>
      </w:pPr>
    </w:p>
    <w:p w14:paraId="7659D3F3" w14:textId="77777777" w:rsidR="000304D9" w:rsidRDefault="000304D9">
      <w:pPr>
        <w:rPr>
          <w:rFonts w:cs="Arial"/>
        </w:rPr>
      </w:pPr>
    </w:p>
    <w:p w14:paraId="6F251692" w14:textId="77777777" w:rsidR="000304D9" w:rsidRDefault="000304D9">
      <w:pPr>
        <w:rPr>
          <w:rFonts w:cs="Arial"/>
        </w:rPr>
      </w:pPr>
    </w:p>
    <w:p w14:paraId="7CDFE4A2" w14:textId="77777777" w:rsidR="000304D9" w:rsidRDefault="000304D9">
      <w:pPr>
        <w:rPr>
          <w:rFonts w:cs="Arial"/>
        </w:rPr>
      </w:pPr>
    </w:p>
    <w:p w14:paraId="345315F6" w14:textId="77777777" w:rsidR="000304D9" w:rsidRDefault="000304D9">
      <w:pPr>
        <w:rPr>
          <w:rFonts w:cs="Arial"/>
        </w:rPr>
      </w:pPr>
    </w:p>
    <w:p w14:paraId="727E42A0" w14:textId="77777777" w:rsidR="000304D9" w:rsidRDefault="00CB7746">
      <w:r>
        <w:rPr>
          <w:rFonts w:cs="Arial"/>
        </w:rPr>
        <w:t>Equipe de Planejamento da contratação:</w:t>
      </w:r>
    </w:p>
    <w:p w14:paraId="70CEE02B" w14:textId="77777777" w:rsidR="000304D9" w:rsidRDefault="000304D9">
      <w:pPr>
        <w:rPr>
          <w:rFonts w:cs="Arial"/>
        </w:rPr>
      </w:pPr>
    </w:p>
    <w:p w14:paraId="4B7ACF20" w14:textId="77777777" w:rsidR="000304D9" w:rsidRDefault="000304D9">
      <w:pPr>
        <w:rPr>
          <w:rFonts w:cs="Arial"/>
        </w:rPr>
      </w:pPr>
    </w:p>
    <w:p w14:paraId="4168E20E" w14:textId="77777777" w:rsidR="000304D9" w:rsidRDefault="00CB7746">
      <w:pPr>
        <w:widowControl w:val="0"/>
        <w:spacing w:after="360"/>
        <w:ind w:left="360"/>
        <w:rPr>
          <w:rFonts w:cs="Arial"/>
          <w:color w:val="000000"/>
          <w:szCs w:val="20"/>
        </w:rPr>
      </w:pPr>
      <w:r>
        <w:rPr>
          <w:rFonts w:cs="Arial"/>
          <w:color w:val="000000"/>
          <w:szCs w:val="20"/>
        </w:rPr>
        <w:t>- Marcio dos Santos Hidalgo</w:t>
      </w:r>
    </w:p>
    <w:p w14:paraId="6FB50E59" w14:textId="77777777" w:rsidR="000304D9" w:rsidRDefault="00CB7746">
      <w:pPr>
        <w:widowControl w:val="0"/>
        <w:spacing w:after="360"/>
        <w:ind w:left="360"/>
        <w:rPr>
          <w:rFonts w:cs="Arial"/>
          <w:color w:val="000000"/>
          <w:szCs w:val="20"/>
        </w:rPr>
      </w:pPr>
      <w:r>
        <w:rPr>
          <w:rFonts w:cs="Arial"/>
          <w:color w:val="000000"/>
          <w:szCs w:val="20"/>
        </w:rPr>
        <w:t>- Diego Rodrigues</w:t>
      </w:r>
    </w:p>
    <w:p w14:paraId="2A9387F4" w14:textId="65A35AC5" w:rsidR="000304D9" w:rsidRDefault="00CB7746" w:rsidP="00003347">
      <w:pPr>
        <w:widowControl w:val="0"/>
        <w:spacing w:after="360"/>
        <w:ind w:left="360"/>
        <w:rPr>
          <w:rFonts w:cs="Arial"/>
          <w:color w:val="000000"/>
          <w:szCs w:val="20"/>
        </w:rPr>
      </w:pPr>
      <w:r>
        <w:rPr>
          <w:rFonts w:cs="Arial"/>
          <w:color w:val="000000"/>
          <w:szCs w:val="20"/>
        </w:rPr>
        <w:t>- Adriano Ferreira Ramos</w:t>
      </w:r>
    </w:p>
    <w:sectPr w:rsidR="000304D9">
      <w:headerReference w:type="default" r:id="rId7"/>
      <w:footerReference w:type="default" r:id="rId8"/>
      <w:pgSz w:w="11906" w:h="16838"/>
      <w:pgMar w:top="1417" w:right="1701" w:bottom="1417" w:left="1701" w:header="708"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072CA" w14:textId="77777777" w:rsidR="00B66710" w:rsidRDefault="00B66710">
      <w:r>
        <w:separator/>
      </w:r>
    </w:p>
  </w:endnote>
  <w:endnote w:type="continuationSeparator" w:id="0">
    <w:p w14:paraId="1F99CF89" w14:textId="77777777" w:rsidR="00B66710" w:rsidRDefault="00B6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153F0" w14:textId="77777777" w:rsidR="000304D9" w:rsidRDefault="000304D9">
    <w:pPr>
      <w:pStyle w:val="Rodap"/>
      <w:jc w:val="right"/>
      <w:rPr>
        <w:sz w:val="18"/>
      </w:rPr>
    </w:pPr>
  </w:p>
  <w:sdt>
    <w:sdtPr>
      <w:id w:val="1477487669"/>
      <w:docPartObj>
        <w:docPartGallery w:val="Page Numbers (Bottom of Page)"/>
        <w:docPartUnique/>
      </w:docPartObj>
    </w:sdtPr>
    <w:sdtEndPr/>
    <w:sdtContent>
      <w:p w14:paraId="49DE139A" w14:textId="77777777" w:rsidR="000304D9" w:rsidRDefault="00CB7746">
        <w:pPr>
          <w:pStyle w:val="Rodap"/>
          <w:pBdr>
            <w:top w:val="single" w:sz="4" w:space="1" w:color="000000"/>
          </w:pBdr>
          <w:jc w:val="center"/>
          <w:rPr>
            <w:rFonts w:cs="Arial"/>
            <w:sz w:val="16"/>
            <w:szCs w:val="16"/>
          </w:rPr>
        </w:pPr>
        <w:r>
          <w:rPr>
            <w:rFonts w:cs="Arial"/>
            <w:sz w:val="16"/>
            <w:szCs w:val="16"/>
          </w:rPr>
          <w:t xml:space="preserve">Pregão Eletrônico 9/2022 - pág.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A6292E">
          <w:rPr>
            <w:rFonts w:cs="Arial"/>
            <w:noProof/>
            <w:sz w:val="16"/>
            <w:szCs w:val="16"/>
          </w:rPr>
          <w:t>4</w:t>
        </w:r>
        <w:r>
          <w:rPr>
            <w:rFonts w:cs="Arial"/>
            <w:sz w:val="16"/>
            <w:szCs w:val="16"/>
          </w:rPr>
          <w:fldChar w:fldCharType="end"/>
        </w:r>
      </w:p>
      <w:p w14:paraId="67A2C6B2" w14:textId="77777777" w:rsidR="000304D9" w:rsidRDefault="00B66710">
        <w:pPr>
          <w:pStyle w:val="Cabealho"/>
          <w:ind w:right="424"/>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6C720" w14:textId="77777777" w:rsidR="00B66710" w:rsidRDefault="00B66710">
      <w:r>
        <w:separator/>
      </w:r>
    </w:p>
  </w:footnote>
  <w:footnote w:type="continuationSeparator" w:id="0">
    <w:p w14:paraId="34984BED" w14:textId="77777777" w:rsidR="00B66710" w:rsidRDefault="00B66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EC095" w14:textId="77777777" w:rsidR="000304D9" w:rsidRDefault="00CB7746">
    <w:pPr>
      <w:pStyle w:val="Cabealho"/>
      <w:jc w:val="both"/>
      <w:rPr>
        <w:rFonts w:ascii="Palatino Linotype" w:hAnsi="Palatino Linotype" w:cs="Palatino Linotype"/>
        <w:sz w:val="24"/>
      </w:rPr>
    </w:pPr>
    <w:r>
      <w:rPr>
        <w:rFonts w:ascii="Palatino Linotype" w:hAnsi="Palatino Linotype" w:cs="Palatino Linotype"/>
        <w:noProof/>
        <w:sz w:val="24"/>
      </w:rPr>
      <mc:AlternateContent>
        <mc:Choice Requires="wps">
          <w:drawing>
            <wp:anchor distT="0" distB="0" distL="114935" distR="114935" simplePos="0" relativeHeight="251655680" behindDoc="1" locked="0" layoutInCell="0" allowOverlap="1" wp14:anchorId="7E39153D" wp14:editId="6EF0BD1E">
              <wp:simplePos x="0" y="0"/>
              <wp:positionH relativeFrom="column">
                <wp:posOffset>26670</wp:posOffset>
              </wp:positionH>
              <wp:positionV relativeFrom="paragraph">
                <wp:posOffset>-139065</wp:posOffset>
              </wp:positionV>
              <wp:extent cx="812800" cy="812800"/>
              <wp:effectExtent l="0" t="0" r="0" b="0"/>
              <wp:wrapTopAndBottom/>
              <wp:docPr id="3" name="Imagem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a:xfrm>
                        <a:off x="0" y="0"/>
                        <a:ext cx="812880" cy="812880"/>
                      </a:xfrm>
                      <a:prstGeom prst="rect">
                        <a:avLst/>
                      </a:prstGeom>
                      <a:ln w="0">
                        <a:noFill/>
                      </a:ln>
                    </pic:spPr>
                  </pic:pic>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2.1pt;margin-top:-10.95pt;width:63.95pt;height:63.95pt;mso-wrap-style:none;v-text-anchor:middle" type="_x0000_t75">
              <v:imagedata r:id="rId2" o:detectmouseclick="t"/>
              <v:stroke color="#3465a4" joinstyle="round" endcap="flat"/>
              <w10:wrap type="topAndBottom"/>
            </v:shape>
          </w:pict>
        </mc:Fallback>
      </mc:AlternateContent>
    </w:r>
    <w:r>
      <w:rPr>
        <w:rFonts w:ascii="Palatino Linotype" w:hAnsi="Palatino Linotype" w:cs="Palatino Linotype"/>
        <w:noProof/>
        <w:sz w:val="24"/>
      </w:rPr>
      <mc:AlternateContent>
        <mc:Choice Requires="wps">
          <w:drawing>
            <wp:anchor distT="0" distB="0" distL="0" distR="0" simplePos="0" relativeHeight="251656704" behindDoc="1" locked="0" layoutInCell="0" allowOverlap="1" wp14:anchorId="249420C3" wp14:editId="61B98BDD">
              <wp:simplePos x="0" y="0"/>
              <wp:positionH relativeFrom="page">
                <wp:posOffset>2055495</wp:posOffset>
              </wp:positionH>
              <wp:positionV relativeFrom="page">
                <wp:posOffset>371475</wp:posOffset>
              </wp:positionV>
              <wp:extent cx="3830320" cy="629920"/>
              <wp:effectExtent l="0" t="0" r="0" b="0"/>
              <wp:wrapNone/>
              <wp:docPr id="4" name="Caixa de texto 1"/>
              <wp:cNvGraphicFramePr/>
              <a:graphic xmlns:a="http://schemas.openxmlformats.org/drawingml/2006/main">
                <a:graphicData uri="http://schemas.microsoft.com/office/word/2010/wordprocessingShape">
                  <wps:wsp>
                    <wps:cNvSpPr/>
                    <wps:spPr>
                      <a:xfrm>
                        <a:off x="0" y="0"/>
                        <a:ext cx="3830400" cy="630000"/>
                      </a:xfrm>
                      <a:prstGeom prst="rect">
                        <a:avLst/>
                      </a:prstGeom>
                      <a:noFill/>
                      <a:ln w="0">
                        <a:noFill/>
                      </a:ln>
                    </wps:spPr>
                    <wps:style>
                      <a:lnRef idx="0">
                        <a:scrgbClr r="0" g="0" b="0"/>
                      </a:lnRef>
                      <a:fillRef idx="0">
                        <a:scrgbClr r="0" g="0" b="0"/>
                      </a:fillRef>
                      <a:effectRef idx="0">
                        <a:scrgbClr r="0" g="0" b="0"/>
                      </a:effectRef>
                      <a:fontRef idx="minor"/>
                    </wps:style>
                    <wps:txbx>
                      <w:txbxContent>
                        <w:p w14:paraId="7F97A182" w14:textId="77777777" w:rsidR="000304D9" w:rsidRDefault="00CB7746">
                          <w:pPr>
                            <w:pStyle w:val="Ttulo1"/>
                            <w:keepLines w:val="0"/>
                            <w:widowControl w:val="0"/>
                            <w:tabs>
                              <w:tab w:val="left" w:pos="0"/>
                              <w:tab w:val="right" w:pos="9072"/>
                            </w:tabs>
                            <w:spacing w:before="0"/>
                            <w:jc w:val="both"/>
                          </w:pPr>
                          <w:r>
                            <w:rPr>
                              <w:b w:val="0"/>
                              <w:sz w:val="23"/>
                            </w:rPr>
                            <w:t>PODER JUDICIÁRIO</w:t>
                          </w:r>
                        </w:p>
                        <w:p w14:paraId="771BF893" w14:textId="77777777" w:rsidR="000304D9" w:rsidRDefault="00CB7746">
                          <w:pPr>
                            <w:pStyle w:val="Ttulo1"/>
                            <w:keepLines w:val="0"/>
                            <w:widowControl w:val="0"/>
                            <w:tabs>
                              <w:tab w:val="left" w:pos="0"/>
                              <w:tab w:val="right" w:pos="9072"/>
                            </w:tabs>
                            <w:spacing w:before="0"/>
                            <w:jc w:val="both"/>
                          </w:pPr>
                          <w:r>
                            <w:rPr>
                              <w:b w:val="0"/>
                              <w:sz w:val="23"/>
                            </w:rPr>
                            <w:t>JUSTIÇA DO TRABALHO</w:t>
                          </w:r>
                        </w:p>
                        <w:p w14:paraId="071C2574" w14:textId="77777777" w:rsidR="000304D9" w:rsidRDefault="00CB7746">
                          <w:pPr>
                            <w:pStyle w:val="Ttulo1"/>
                            <w:keepLines w:val="0"/>
                            <w:widowControl w:val="0"/>
                            <w:tabs>
                              <w:tab w:val="left" w:pos="0"/>
                              <w:tab w:val="right" w:pos="9072"/>
                            </w:tabs>
                            <w:spacing w:before="0"/>
                            <w:jc w:val="both"/>
                          </w:pPr>
                          <w:r>
                            <w:rPr>
                              <w:b w:val="0"/>
                              <w:sz w:val="23"/>
                            </w:rPr>
                            <w:t>TRIBUNAL REGIONAL DO TRABALHO DA 9.ª REGIÃO</w:t>
                          </w:r>
                        </w:p>
                      </w:txbxContent>
                    </wps:txbx>
                    <wps:bodyPr lIns="12600" tIns="12600" rIns="12600" bIns="12600" anchor="t"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shape_0" ID="Caixa de texto 1" path="m0,0l-2147483645,0l-2147483645,-2147483646l0,-2147483646xe" stroked="f" o:allowincell="f" style="position:absolute;margin-left:161.85pt;margin-top:29.25pt;width:301.55pt;height:49.55pt;mso-wrap-style:square;v-text-anchor:top;mso-position-horizontal-relative:page;mso-position-vertical-relative:page" wp14:anchorId="2A68573A">
              <v:fill o:detectmouseclick="t" on="false"/>
              <v:stroke color="#3465a4" joinstyle="round" endcap="flat"/>
              <v:textbox>
                <w:txbxContent>
                  <w:p>
                    <w:pPr>
                      <w:pStyle w:val="Heading1"/>
                      <w:keepLines w:val="false"/>
                      <w:widowControl w:val="false"/>
                      <w:tabs>
                        <w:tab w:val="clear" w:pos="708"/>
                        <w:tab w:val="left" w:pos="0" w:leader="none"/>
                        <w:tab w:val="right" w:pos="9072" w:leader="none"/>
                      </w:tabs>
                      <w:spacing w:before="0" w:after="0"/>
                      <w:jc w:val="both"/>
                      <w:rPr/>
                    </w:pPr>
                    <w:r>
                      <w:rPr>
                        <w:b w:val="false"/>
                        <w:sz w:val="23"/>
                      </w:rPr>
                      <w:t>PODER JUDICIÁRIO</w:t>
                    </w:r>
                  </w:p>
                  <w:p>
                    <w:pPr>
                      <w:pStyle w:val="Heading1"/>
                      <w:keepLines w:val="false"/>
                      <w:widowControl w:val="false"/>
                      <w:tabs>
                        <w:tab w:val="clear" w:pos="708"/>
                        <w:tab w:val="left" w:pos="0" w:leader="none"/>
                        <w:tab w:val="right" w:pos="9072" w:leader="none"/>
                      </w:tabs>
                      <w:spacing w:before="0" w:after="0"/>
                      <w:jc w:val="both"/>
                      <w:rPr/>
                    </w:pPr>
                    <w:r>
                      <w:rPr>
                        <w:b w:val="false"/>
                        <w:sz w:val="23"/>
                      </w:rPr>
                      <w:t>JUSTIÇA DO TRABALHO</w:t>
                    </w:r>
                  </w:p>
                  <w:p>
                    <w:pPr>
                      <w:pStyle w:val="Heading1"/>
                      <w:keepLines w:val="false"/>
                      <w:widowControl w:val="false"/>
                      <w:tabs>
                        <w:tab w:val="clear" w:pos="708"/>
                        <w:tab w:val="left" w:pos="0" w:leader="none"/>
                        <w:tab w:val="right" w:pos="9072" w:leader="none"/>
                      </w:tabs>
                      <w:spacing w:before="0" w:after="0"/>
                      <w:jc w:val="both"/>
                      <w:rPr/>
                    </w:pPr>
                    <w:r>
                      <w:rPr>
                        <w:b w:val="false"/>
                        <w:sz w:val="23"/>
                      </w:rPr>
                      <w:t>TRIBUNAL REGIONAL DO TRABALHO DA 9.ª REGIÃO</w:t>
                    </w:r>
                  </w:p>
                </w:txbxContent>
              </v:textbox>
              <w10:wrap type="none"/>
            </v:rect>
          </w:pict>
        </mc:Fallback>
      </mc:AlternateContent>
    </w:r>
  </w:p>
  <w:p w14:paraId="640ED71D" w14:textId="77777777" w:rsidR="000304D9" w:rsidRDefault="000304D9">
    <w:pPr>
      <w:pStyle w:val="Cabealho"/>
      <w:rPr>
        <w:rFonts w:ascii="Palatino Linotype" w:hAnsi="Palatino Linotype" w:cs="Palatino Linotype"/>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206B79"/>
    <w:multiLevelType w:val="multilevel"/>
    <w:tmpl w:val="8CCCD6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1480579"/>
    <w:multiLevelType w:val="multilevel"/>
    <w:tmpl w:val="50AA0060"/>
    <w:lvl w:ilvl="0">
      <w:start w:val="1"/>
      <w:numFmt w:val="decimal"/>
      <w:lvlText w:val="%1."/>
      <w:lvlJc w:val="left"/>
      <w:pPr>
        <w:tabs>
          <w:tab w:val="num" w:pos="0"/>
        </w:tabs>
        <w:ind w:left="720" w:hanging="360"/>
      </w:pPr>
      <w:rPr>
        <w:rFonts w:ascii="Arial" w:hAnsi="Arial" w:cs="Arial"/>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535B1196"/>
    <w:multiLevelType w:val="multilevel"/>
    <w:tmpl w:val="B0320F06"/>
    <w:lvl w:ilvl="0">
      <w:start w:val="1"/>
      <w:numFmt w:val="decimal"/>
      <w:pStyle w:val="Nivel01"/>
      <w:lvlText w:val="%1."/>
      <w:lvlJc w:val="left"/>
      <w:pPr>
        <w:tabs>
          <w:tab w:val="num" w:pos="0"/>
        </w:tabs>
        <w:ind w:left="1777" w:hanging="360"/>
      </w:pPr>
      <w:rPr>
        <w:rFonts w:ascii="Arial" w:eastAsiaTheme="majorEastAsia" w:hAnsi="Arial" w:cs="Arial"/>
        <w:b/>
      </w:rPr>
    </w:lvl>
    <w:lvl w:ilvl="1">
      <w:start w:val="13"/>
      <w:numFmt w:val="decimal"/>
      <w:lvlText w:val="%1.%2."/>
      <w:lvlJc w:val="left"/>
      <w:pPr>
        <w:tabs>
          <w:tab w:val="num" w:pos="0"/>
        </w:tabs>
        <w:ind w:left="1282" w:hanging="432"/>
      </w:pPr>
      <w:rPr>
        <w:b w:val="0"/>
      </w:rPr>
    </w:lvl>
    <w:lvl w:ilvl="2">
      <w:start w:val="1"/>
      <w:numFmt w:val="decimal"/>
      <w:lvlText w:val="%1.%2.%3"/>
      <w:lvlJc w:val="left"/>
      <w:pPr>
        <w:tabs>
          <w:tab w:val="num" w:pos="0"/>
        </w:tabs>
        <w:ind w:left="1922" w:hanging="504"/>
      </w:pPr>
      <w:rPr>
        <w:rFonts w:ascii="Arial" w:eastAsia="Times New Roman" w:hAnsi="Arial" w:cs="Arial"/>
        <w:b w:val="0"/>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4D9"/>
    <w:rsid w:val="00003347"/>
    <w:rsid w:val="000304D9"/>
    <w:rsid w:val="0007102D"/>
    <w:rsid w:val="00344798"/>
    <w:rsid w:val="003C08F0"/>
    <w:rsid w:val="00421D91"/>
    <w:rsid w:val="0046129C"/>
    <w:rsid w:val="004F41B9"/>
    <w:rsid w:val="0062647A"/>
    <w:rsid w:val="006611ED"/>
    <w:rsid w:val="0082206C"/>
    <w:rsid w:val="00A6292E"/>
    <w:rsid w:val="00B66710"/>
    <w:rsid w:val="00C47980"/>
    <w:rsid w:val="00CB7746"/>
    <w:rsid w:val="00CC1448"/>
    <w:rsid w:val="00D4389D"/>
    <w:rsid w:val="00D64A5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E4593"/>
  <w15:docId w15:val="{71CD6AC3-FC8D-4C55-BC38-AEE794D5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34E"/>
    <w:rPr>
      <w:rFonts w:ascii="Arial" w:eastAsia="Times New Roman" w:hAnsi="Arial" w:cs="Tahoma"/>
      <w:sz w:val="20"/>
      <w:szCs w:val="24"/>
      <w:lang w:eastAsia="pt-BR"/>
    </w:rPr>
  </w:style>
  <w:style w:type="paragraph" w:styleId="Ttulo1">
    <w:name w:val="heading 1"/>
    <w:basedOn w:val="Normal"/>
    <w:next w:val="Normal"/>
    <w:link w:val="Ttulo1Char"/>
    <w:qFormat/>
    <w:rsid w:val="00D9134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D9134E"/>
    <w:rPr>
      <w:rFonts w:asciiTheme="majorHAnsi" w:eastAsiaTheme="majorEastAsia" w:hAnsiTheme="majorHAnsi" w:cstheme="majorBidi"/>
      <w:b/>
      <w:bCs/>
      <w:color w:val="2E74B5" w:themeColor="accent1" w:themeShade="BF"/>
      <w:sz w:val="28"/>
      <w:szCs w:val="28"/>
      <w:lang w:eastAsia="pt-BR"/>
    </w:rPr>
  </w:style>
  <w:style w:type="character" w:customStyle="1" w:styleId="CabealhoChar">
    <w:name w:val="Cabeçalho Char"/>
    <w:basedOn w:val="Fontepargpadro"/>
    <w:link w:val="Cabealho"/>
    <w:qFormat/>
    <w:rsid w:val="00D9134E"/>
    <w:rPr>
      <w:rFonts w:ascii="Arial" w:eastAsia="Times New Roman" w:hAnsi="Arial" w:cs="Tahoma"/>
      <w:sz w:val="20"/>
      <w:szCs w:val="24"/>
      <w:lang w:eastAsia="pt-BR"/>
    </w:rPr>
  </w:style>
  <w:style w:type="character" w:customStyle="1" w:styleId="RodapChar">
    <w:name w:val="Rodapé Char"/>
    <w:basedOn w:val="Fontepargpadro"/>
    <w:link w:val="Rodap"/>
    <w:qFormat/>
    <w:rsid w:val="00D9134E"/>
    <w:rPr>
      <w:rFonts w:ascii="Arial" w:eastAsia="Times New Roman" w:hAnsi="Arial" w:cs="Tahoma"/>
      <w:sz w:val="20"/>
      <w:szCs w:val="24"/>
      <w:lang w:eastAsia="pt-BR"/>
    </w:rPr>
  </w:style>
  <w:style w:type="character" w:styleId="Forte">
    <w:name w:val="Strong"/>
    <w:basedOn w:val="Fontepargpadro"/>
    <w:uiPriority w:val="22"/>
    <w:qFormat/>
    <w:rsid w:val="00D9134E"/>
    <w:rPr>
      <w:b/>
      <w:bCs/>
    </w:rPr>
  </w:style>
  <w:style w:type="character" w:customStyle="1" w:styleId="Nivel01Char">
    <w:name w:val="Nivel 01 Char"/>
    <w:basedOn w:val="Ttulo1Char"/>
    <w:link w:val="Nivel01"/>
    <w:qFormat/>
    <w:rsid w:val="001D0D8C"/>
    <w:rPr>
      <w:rFonts w:ascii="Arial" w:eastAsiaTheme="majorEastAsia" w:hAnsi="Arial" w:cs="Times New Roman"/>
      <w:b/>
      <w:bCs/>
      <w:color w:val="000000"/>
      <w:sz w:val="20"/>
      <w:szCs w:val="20"/>
      <w:lang w:eastAsia="pt-BR"/>
    </w:rPr>
  </w:style>
  <w:style w:type="character" w:customStyle="1" w:styleId="markedcontent">
    <w:name w:val="markedcontent"/>
    <w:basedOn w:val="Fontepargpadro"/>
    <w:qFormat/>
    <w:rsid w:val="00D3049C"/>
  </w:style>
  <w:style w:type="character" w:customStyle="1" w:styleId="WW8Num1z0">
    <w:name w:val="WW8Num1z0"/>
    <w:qFormat/>
    <w:rPr>
      <w:rFonts w:ascii="Symbol" w:hAnsi="Symbol" w:cs="Symbol"/>
      <w:color w:val="000000"/>
      <w:sz w:val="22"/>
      <w:szCs w:val="22"/>
      <w:shd w:val="clear" w:color="auto" w:fill="auto"/>
      <w:lang w:val="pt-BR" w:eastAsia="zh-CN" w:bidi="ar-SA"/>
    </w:rPr>
  </w:style>
  <w:style w:type="paragraph" w:customStyle="1" w:styleId="Heading">
    <w:name w:val="Heading"/>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pPr>
      <w:spacing w:after="140" w:line="276"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rPr>
  </w:style>
  <w:style w:type="paragraph" w:customStyle="1" w:styleId="Index">
    <w:name w:val="Index"/>
    <w:basedOn w:val="Normal"/>
    <w:qFormat/>
    <w:pPr>
      <w:suppressLineNumbers/>
    </w:pPr>
    <w:rPr>
      <w:rFonts w:cs="Mangal"/>
    </w:rPr>
  </w:style>
  <w:style w:type="paragraph" w:customStyle="1" w:styleId="HeaderandFooter">
    <w:name w:val="Header and Footer"/>
    <w:basedOn w:val="Normal"/>
    <w:qFormat/>
  </w:style>
  <w:style w:type="paragraph" w:styleId="Cabealho">
    <w:name w:val="header"/>
    <w:basedOn w:val="Normal"/>
    <w:link w:val="CabealhoChar"/>
    <w:rsid w:val="00D9134E"/>
    <w:pPr>
      <w:tabs>
        <w:tab w:val="center" w:pos="4252"/>
        <w:tab w:val="right" w:pos="8504"/>
      </w:tabs>
    </w:pPr>
  </w:style>
  <w:style w:type="paragraph" w:styleId="Rodap">
    <w:name w:val="footer"/>
    <w:basedOn w:val="Normal"/>
    <w:link w:val="RodapChar"/>
    <w:rsid w:val="00D9134E"/>
    <w:pPr>
      <w:tabs>
        <w:tab w:val="center" w:pos="4252"/>
        <w:tab w:val="right" w:pos="8504"/>
      </w:tabs>
    </w:pPr>
  </w:style>
  <w:style w:type="paragraph" w:customStyle="1" w:styleId="Contedodatabela">
    <w:name w:val="Conteúdo da tabela"/>
    <w:basedOn w:val="Normal"/>
    <w:qFormat/>
    <w:rsid w:val="00D9134E"/>
    <w:pPr>
      <w:widowControl w:val="0"/>
      <w:suppressLineNumbers/>
      <w:spacing w:after="200" w:line="276" w:lineRule="auto"/>
    </w:pPr>
    <w:rPr>
      <w:rFonts w:ascii="Calibri" w:eastAsia="Calibri" w:hAnsi="Calibri" w:cs="Calibri"/>
      <w:sz w:val="22"/>
      <w:szCs w:val="22"/>
      <w:lang w:eastAsia="zh-CN"/>
    </w:rPr>
  </w:style>
  <w:style w:type="paragraph" w:customStyle="1" w:styleId="Nivel01">
    <w:name w:val="Nivel 01"/>
    <w:basedOn w:val="Ttulo1"/>
    <w:next w:val="Normal"/>
    <w:link w:val="Nivel01Char"/>
    <w:qFormat/>
    <w:rsid w:val="001D0D8C"/>
    <w:pPr>
      <w:numPr>
        <w:numId w:val="2"/>
      </w:numPr>
      <w:spacing w:after="120" w:line="276" w:lineRule="auto"/>
      <w:ind w:right="-15" w:firstLine="0"/>
      <w:jc w:val="both"/>
    </w:pPr>
    <w:rPr>
      <w:rFonts w:ascii="Arial" w:hAnsi="Arial" w:cs="Times New Roman"/>
      <w:color w:val="000000"/>
      <w:sz w:val="20"/>
      <w:szCs w:val="20"/>
    </w:rPr>
  </w:style>
  <w:style w:type="paragraph" w:customStyle="1" w:styleId="FrameContents">
    <w:name w:val="Frame Contents"/>
    <w:basedOn w:val="Normal"/>
    <w:qFormat/>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5</Pages>
  <Words>2430</Words>
  <Characters>13126</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9ª Região</Company>
  <LinksUpToDate>false</LinksUpToDate>
  <CharactersWithSpaces>15525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Ferreira Ramos</dc:creator>
  <dc:description/>
  <cp:lastModifiedBy>Conta da Microsoft</cp:lastModifiedBy>
  <cp:revision>49</cp:revision>
  <dcterms:created xsi:type="dcterms:W3CDTF">2022-05-09T18:57:00Z</dcterms:created>
  <dcterms:modified xsi:type="dcterms:W3CDTF">2022-08-09T18:32:00Z</dcterms:modified>
  <dc:language>pt-BR</dc:language>
</cp:coreProperties>
</file>